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8.png" ContentType="image/png"/>
  <Override PartName="/word/media/rId251.png" ContentType="image/png"/>
  <Override PartName="/word/media/rId241.png" ContentType="image/png"/>
  <Override PartName="/word/media/rId244.png" ContentType="image/png"/>
  <Override PartName="/word/media/rId134.png" ContentType="image/png"/>
  <Override PartName="/word/media/rId154.eps" ContentType="application/eps"/>
  <Override PartName="/word/media/rId100.png" ContentType="image/png"/>
  <Override PartName="/word/media/rId267.png" ContentType="image/png"/>
  <Override PartName="/word/media/rId67.png" ContentType="image/png"/>
  <Override PartName="/word/media/rId38.png" ContentType="image/png"/>
  <Override PartName="/word/media/rId30.pdf" ContentType="application/pdf"/>
  <Override PartName="/word/media/rId162.png" ContentType="image/png"/>
  <Override PartName="/word/media/rId169.png" ContentType="image/png"/>
  <Override PartName="/word/media/rId62.png" ContentType="image/png"/>
  <Override PartName="/word/media/rId109.png" ContentType="image/png"/>
  <Override PartName="/word/media/rId232.png" ContentType="image/png"/>
  <Override PartName="/word/media/rId165.eps" ContentType="application/eps"/>
  <Override PartName="/word/media/rId222.png" ContentType="image/png"/>
  <Override PartName="/word/media/rId35.pdf" ContentType="application/pdf"/>
  <Override PartName="/word/media/rId193.png" ContentType="image/png"/>
  <Override PartName="/word/media/rId158.eps" ContentType="application/eps"/>
  <Override PartName="/word/media/rId226.png" ContentType="image/png"/>
  <Override PartName="/word/media/rId54.png" ContentType="image/png"/>
  <Override PartName="/word/media/rId142.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October 27,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3" w:name="acknowledgements"/>
    <w:p>
      <w:pPr>
        <w:pStyle w:val="Heading1"/>
      </w:pPr>
      <w:r>
        <w:t xml:space="preserve">Acknowledgements</w:t>
      </w:r>
    </w:p>
    <w:bookmarkStart w:id="21" w:name="first-paper"/>
    <w:p>
      <w:pPr>
        <w:pStyle w:val="Heading2"/>
      </w:pPr>
      <w:r>
        <w:rPr>
          <w:rStyle w:val="SectionNumber"/>
        </w:rPr>
        <w:t xml:space="preserve">0.1</w:t>
      </w:r>
      <w:r>
        <w:tab/>
      </w: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rPr>
          <w:rStyle w:val="SectionNumber"/>
        </w:rPr>
        <w:t xml:space="preserve">0.2</w:t>
      </w:r>
      <w:r>
        <w:tab/>
      </w: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r>
        <w:t xml:space="preserve"> </w:t>
      </w:r>
    </w:p>
    <w:bookmarkEnd w:id="22"/>
    <w:bookmarkEnd w:id="23"/>
    <w:p>
      <w:pPr>
        <w:pStyle w:val="Heading1"/>
      </w:pPr>
      <w:r>
        <w:rPr>
          <w:rStyle w:val="SectionNumber"/>
        </w:rPr>
        <w:t xml:space="preserve">1</w:t>
      </w:r>
      <w:r>
        <w:tab/>
      </w:r>
      <w:r>
        <w:t xml:space="preserve">List of Figures</w:t>
      </w:r>
    </w:p>
    <w:p>
      <w:pPr>
        <w:pStyle w:val="FirstParagraph"/>
      </w:pPr>
      <w:r>
        <w:t xml:space="preserve">1. Timeframes of power system dynamics. Source:</w:t>
      </w:r>
      <w:r>
        <w:t xml:space="preserve"> </w:t>
      </w:r>
      <w:r>
        <w:t xml:space="preserve">(</w:t>
      </w:r>
      <w:hyperlink w:anchor="ref-Machowski2020">
        <w:r>
          <w:rPr>
            <w:rStyle w:val="Hyperlink"/>
            <w:bCs/>
            <w:b/>
          </w:rPr>
          <w:t xml:space="preserve">Machowski2020?</w:t>
        </w:r>
      </w:hyperlink>
      <w:r>
        <w:t xml:space="preserve">)</w:t>
      </w:r>
      <w:r>
        <w:t xml:space="preserve">.</w:t>
      </w:r>
      <w:r>
        <w:br/>
      </w:r>
    </w:p>
    <w:p>
      <w:pPr>
        <w:pStyle w:val="BodyText"/>
      </w:pPr>
      <w:r>
        <w:t xml:space="preserve">2. Mechanical power applied to the prime mover results in a mechanical</w:t>
      </w:r>
      <w:r>
        <w:t xml:space="preserve"> </w:t>
      </w:r>
      <w:r>
        <w:t xml:space="preserve">torque</w:t>
      </w:r>
      <w:r>
        <w:t xml:space="preserve"> </w:t>
      </w:r>
      <m:oMath>
        <m:sSub>
          <m:e>
            <m:r>
              <m:t>T</m:t>
            </m:r>
          </m:e>
          <m:sub>
            <m:r>
              <m:t>m</m:t>
            </m:r>
          </m:sub>
        </m:sSub>
      </m:oMath>
      <w:r>
        <w:t xml:space="preserve"> </w:t>
      </w:r>
      <w:r>
        <w:t xml:space="preserve">on the rotor of a synchronous generator. This is opposed by</w:t>
      </w:r>
      <w:r>
        <w:t xml:space="preserve"> </w:t>
      </w:r>
      <w:r>
        <w:t xml:space="preserve">an electromagnetic torque</w:t>
      </w:r>
      <w:r>
        <w:t xml:space="preserve"> </w:t>
      </w:r>
      <m:oMath>
        <m:sSub>
          <m:e>
            <m:r>
              <m:t>T</m:t>
            </m:r>
          </m:e>
          <m:sub>
            <m:r>
              <m:t>e</m:t>
            </m:r>
          </m:sub>
        </m:sSub>
      </m:oMath>
      <w:r>
        <w:t xml:space="preserve"> </w:t>
      </w:r>
      <w:r>
        <w:t xml:space="preserve">that is produced from the interaction of</w:t>
      </w:r>
      <w:r>
        <w:t xml:space="preserve"> </w:t>
      </w:r>
      <w:r>
        <w:t xml:space="preserve">the rotor and stator magnetic fields. Source:</w:t>
      </w:r>
      <w:r>
        <w:t xml:space="preserve"> </w:t>
      </w:r>
      <w:r>
        <w:t xml:space="preserve">(</w:t>
      </w:r>
      <w:hyperlink w:anchor="ref-Rebours2009">
        <w:r>
          <w:rPr>
            <w:rStyle w:val="Hyperlink"/>
            <w:bCs/>
            <w:b/>
          </w:rPr>
          <w:t xml:space="preserve">Rebours2009?</w:t>
        </w:r>
      </w:hyperlink>
      <w:r>
        <w:t xml:space="preserve">)</w:t>
      </w:r>
      <w:r>
        <w:t xml:space="preserve">.</w:t>
      </w:r>
      <w:r>
        <w:br/>
      </w:r>
    </w:p>
    <w:p>
      <w:pPr>
        <w:pStyle w:val="BodyText"/>
      </w:pPr>
      <w:r>
        <w:t xml:space="preserve">3. (a) A trace of power system frequency with corresponding frequency</w:t>
      </w:r>
      <w:r>
        <w:t xml:space="preserve"> </w:t>
      </w:r>
      <w:r>
        <w:t xml:space="preserve">control services following a loss-of-generation contingency event. (b)</w:t>
      </w:r>
      <w:r>
        <w:t xml:space="preserve"> </w:t>
      </w:r>
      <w:r>
        <w:t xml:space="preserve">The timeframes over which the various frequency control services are</w:t>
      </w:r>
      <w:r>
        <w:t xml:space="preserve"> </w:t>
      </w:r>
      <w:r>
        <w:t xml:space="preserve">provided. Source:</w:t>
      </w:r>
      <w:r>
        <w:t xml:space="preserve"> </w:t>
      </w:r>
      <w:r>
        <w:t xml:space="preserve">(</w:t>
      </w:r>
      <w:hyperlink w:anchor="ref-AustralianEnergyMarketOperator2020l">
        <w:r>
          <w:rPr>
            <w:rStyle w:val="Hyperlink"/>
            <w:bCs/>
            <w:b/>
          </w:rPr>
          <w:t xml:space="preserve">AustralianEnergyMarketOperator2020l?</w:t>
        </w:r>
      </w:hyperlink>
      <w:r>
        <w:t xml:space="preserve">)</w:t>
      </w:r>
      <w:r>
        <w:t xml:space="preserve">.</w:t>
      </w:r>
      <w:r>
        <w:br/>
      </w:r>
    </w:p>
    <w:p>
      <w:pPr>
        <w:pStyle w:val="BodyText"/>
      </w:pPr>
      <w:r>
        <w:t xml:space="preserve">4. Behaviour of a synchronous generator with a turbine governor providing</w:t>
      </w:r>
      <w:r>
        <w:t xml:space="preserve"> </w:t>
      </w:r>
      <w:r>
        <w:t xml:space="preserve">PFC and responding to SFC.</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SFC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r>
        <w:br/>
      </w:r>
    </w:p>
    <w:p>
      <w:pPr>
        <w:pStyle w:val="BodyText"/>
      </w:pPr>
      <w:r>
        <w:t xml:space="preserve">5. A diagrammatic depiction of the complexity involved in designing power</w:t>
      </w:r>
      <w:r>
        <w:t xml:space="preserve"> </w:t>
      </w:r>
      <w:r>
        <w:t xml:space="preserve">system frequency control</w:t>
      </w:r>
      <w:r>
        <w:t xml:space="preserve"> </w:t>
      </w:r>
      <w:r>
        <w:t xml:space="preserve">arrangements.</w:t>
      </w:r>
      <w:r>
        <w:br/>
      </w:r>
    </w:p>
    <w:p>
      <w:pPr>
        <w:pStyle w:val="BodyText"/>
      </w:pPr>
      <w:r>
        <w:t xml:space="preserve">6. Interfaces between the frequency control capability and the mechanisms</w:t>
      </w:r>
      <w:r>
        <w:t xml:space="preserve"> </w:t>
      </w:r>
      <w:r>
        <w:t xml:space="preserve">within the frequency control strategy of a power</w:t>
      </w:r>
      <w:r>
        <w:t xml:space="preserve"> </w:t>
      </w:r>
      <w:r>
        <w:t xml:space="preserve">system.</w:t>
      </w:r>
      <w:r>
        <w:br/>
      </w:r>
    </w:p>
    <w:p>
      <w:pPr>
        <w:pStyle w:val="BodyText"/>
      </w:pPr>
      <w:r>
        <w:t xml:space="preserve">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15 (a).</w:t>
      </w:r>
      <w:r>
        <w:br/>
      </w:r>
    </w:p>
    <w:p>
      <w:pPr>
        <w:pStyle w:val="BodyText"/>
      </w:pPr>
      <w:r>
        <w:t xml:space="preserve">15 (b).</w:t>
      </w:r>
      <w:r>
        <w:br/>
      </w:r>
    </w:p>
    <w:p>
      <w:pPr>
        <w:pStyle w:val="BodyText"/>
      </w:pPr>
      <w:r>
        <w:t xml:space="preserve">16. Process flow for modelling available reserves and footroom for each scenario in this case study.</w:t>
      </w:r>
      <w:r>
        <w:br/>
      </w:r>
    </w:p>
    <w:p>
      <w:pPr>
        <w:pStyle w:val="BodyText"/>
      </w:pPr>
      <w:r>
        <w:t xml:space="preserve">17. Mean (top row) and bottom 1% (bottom row) SDPs for available reserves in NSW in 2020 (leftmost column) and the two 2025 scenarios (rightmost columns).</w:t>
      </w:r>
      <w:r>
        <w:br/>
      </w:r>
    </w:p>
    <w:p>
      <w:pPr>
        <w:pStyle w:val="BodyText"/>
      </w:pPr>
      <w:r>
        <w:t xml:space="preserve">18. Mean (top row) and bottom 1% (bottom row) SDPs for available reserves in SA in 2020 (leftmost column) and the two 2025 scenarios (rightmost columns).</w:t>
      </w:r>
      <w:r>
        <w:br/>
      </w:r>
    </w:p>
    <w:p>
      <w:pPr>
        <w:pStyle w:val="BodyText"/>
      </w:pPr>
      <w:r>
        <w:t xml:space="preserve">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20.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21. Ramp rates observed (red) and used in dispatch by AEMO (blue) for a coal-fired unit in NSW in 2020. The green line denotes the ramp rate assumed by AEMO in its 2020 Inputs and Assumptions workbook and the 2020 ISP.</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bookmarkStart w:id="24" w:name="abbreviations-and-nomenclature"/>
    <w:p>
      <w:pPr>
        <w:pStyle w:val="Heading1"/>
      </w:pPr>
      <w:r>
        <w:t xml:space="preserve">Abbreviations and Nomenclature</w:t>
      </w:r>
    </w:p>
    <w:bookmarkEnd w:id="24"/>
    <w:bookmarkStart w:id="27" w:name="sec:intro"/>
    <w:p>
      <w:pPr>
        <w:pStyle w:val="Heading1"/>
      </w:pPr>
      <w:r>
        <w:rPr>
          <w:rStyle w:val="SectionNumber"/>
        </w:rPr>
        <w:t xml:space="preserve">3</w:t>
      </w:r>
      <w:r>
        <w:tab/>
      </w:r>
      <w:r>
        <w:t xml:space="preserve">Introduction, with a citation</w:t>
      </w:r>
    </w:p>
    <w:bookmarkStart w:id="25"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5"/>
    <w:bookmarkStart w:id="26"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4 is the FCAS paper. Section </w:t>
      </w:r>
      <w:r>
        <w:rPr>
          <w:bCs/>
          <w:b/>
        </w:rPr>
        <w:t xml:space="preserve">¿sec:second?</w:t>
      </w:r>
      <w:r>
        <w:t xml:space="preserve"> </w:t>
      </w:r>
      <w:r>
        <w:t xml:space="preserve">shows how to use, reference, and resize pdf and jpg figures. Section 6 shows how to use and reference tables. Section 5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6"/>
    <w:bookmarkEnd w:id="27"/>
    <w:bookmarkStart w:id="118" w:name="sec:lit_review"/>
    <w:p>
      <w:pPr>
        <w:pStyle w:val="Heading1"/>
      </w:pPr>
      <w:r>
        <w:rPr>
          <w:rStyle w:val="SectionNumber"/>
        </w:rPr>
        <w:t xml:space="preserve">4</w:t>
      </w:r>
      <w:r>
        <w:tab/>
      </w:r>
      <w:r>
        <w:t xml:space="preserve">Literature review</w:t>
      </w:r>
    </w:p>
    <w:bookmarkStart w:id="28" w:name="introduction"/>
    <w:p>
      <w:pPr>
        <w:pStyle w:val="Heading2"/>
      </w:pPr>
      <w:r>
        <w:rPr>
          <w:rStyle w:val="SectionNumber"/>
        </w:rPr>
        <w:t xml:space="preserve">4.1</w:t>
      </w:r>
      <w:r>
        <w:tab/>
      </w:r>
      <w:r>
        <w:t xml:space="preserve">Introduction</w:t>
      </w:r>
    </w:p>
    <w:bookmarkEnd w:id="28"/>
    <w:bookmarkStart w:id="29" w:name="outline-of-literature-review"/>
    <w:p>
      <w:pPr>
        <w:pStyle w:val="Heading2"/>
      </w:pPr>
      <w:r>
        <w:rPr>
          <w:rStyle w:val="SectionNumber"/>
        </w:rPr>
        <w:t xml:space="preserve">4.2</w:t>
      </w:r>
      <w:r>
        <w:tab/>
      </w:r>
      <w:r>
        <w:t xml:space="preserve">Outline of literature review</w:t>
      </w:r>
    </w:p>
    <w:bookmarkEnd w:id="29"/>
    <w:bookmarkStart w:id="34" w:name="sec:lit_review-power_systems"/>
    <w:p>
      <w:pPr>
        <w:pStyle w:val="Heading2"/>
      </w:pPr>
      <w:r>
        <w:rPr>
          <w:rStyle w:val="SectionNumber"/>
        </w:rPr>
        <w:t xml:space="preserve">4.3</w:t>
      </w:r>
      <w:r>
        <w:tab/>
      </w:r>
      <w:r>
        <w:t xml:space="preserve">Power systems</w:t>
      </w:r>
    </w:p>
    <w:p>
      <w:pPr>
        <w:pStyle w:val="FirstParagraph"/>
      </w:pPr>
      <w:r>
        <w:t xml:space="preserve">Given the welfare and economic benefits associated with electricity access, many 20</w:t>
      </w:r>
      <w:r>
        <w:rPr>
          <w:vertAlign w:val="superscript"/>
        </w:rPr>
        <w:t xml:space="preserve">th</w:t>
      </w:r>
      <w:r>
        <w:t xml:space="preserve"> </w:t>
      </w:r>
      <w:r>
        <w:t xml:space="preserve">century states constructed large bulk</w:t>
      </w:r>
      <w:r>
        <w:t xml:space="preserve"> </w:t>
      </w:r>
      <w:r>
        <w:rPr>
          <w:iCs/>
          <w:i/>
        </w:rPr>
        <w:t xml:space="preserve">power systems</w:t>
      </w:r>
      <w:r>
        <w:t xml:space="preserve"> </w:t>
      </w:r>
      <w:r>
        <w:t xml:space="preserve">to leverage investment &amp; operational economies of scale. These systems sought to efficiently deliver active power (i.e. power that does work) to numerous electricity end-users (</w:t>
      </w:r>
      <w:r>
        <w:rPr>
          <w:iCs/>
          <w:i/>
        </w:rPr>
        <w:t xml:space="preserve">demand</w:t>
      </w:r>
      <w:r>
        <w:t xml:space="preserve"> </w:t>
      </w:r>
      <w:r>
        <w:t xml:space="preserve">or</w:t>
      </w:r>
      <w:r>
        <w:t xml:space="preserve"> </w:t>
      </w:r>
      <w:r>
        <w:rPr>
          <w:iCs/>
          <w:i/>
        </w:rPr>
        <w:t xml:space="preserve">loads</w:t>
      </w:r>
      <w:r>
        <w:t xml:space="preserve">) from electricity suppliers (</w:t>
      </w:r>
      <w:r>
        <w:t xml:space="preserve"> </w:t>
      </w:r>
      <w:r>
        <w:rPr>
          <w:iCs/>
          <w:i/>
        </w:rPr>
        <w:t xml:space="preserve">generators</w:t>
      </w:r>
      <w:r>
        <w:t xml:space="preserve">) across vast distances. A typical power system configuration is presented in Figure </w:t>
      </w:r>
      <w:r>
        <w:rPr>
          <w:bCs/>
          <w:b/>
        </w:rPr>
        <w:t xml:space="preserve">¿fig:elec_supply?</w:t>
      </w:r>
      <w:r>
        <w:t xml:space="preserve"> </w:t>
      </w:r>
      <w:r>
        <w:t xml:space="preserve">chain. Generators supply the system with alternating current (AC) power either through a direct electromagnetic connection or through a power inverter interface (which converts the direct current, or DC, produced by the generator to AC).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houses and businesses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BodyText"/>
      </w:pPr>
      <w:r>
        <w:drawing>
          <wp:inline>
            <wp:extent cx="5334000" cy="3769658"/>
            <wp:effectExtent b="0" l="0" r="0" t="0"/>
            <wp:docPr descr="Conventional bulk power system, including generation, transmission, distribution and industrial, commercial and residential end-users (loads). Source: Australian Energy Market Operator (2023)." title="" id="31" name="Picture"/>
            <a:graphic>
              <a:graphicData uri="http://schemas.openxmlformats.org/drawingml/2006/picture">
                <pic:pic>
                  <pic:nvPicPr>
                    <pic:cNvPr descr="source/figures/electricity_supply_chain.pdf" id="32" name="Picture"/>
                    <pic:cNvPicPr>
                      <a:picLocks noChangeArrowheads="1" noChangeAspect="1"/>
                    </pic:cNvPicPr>
                  </pic:nvPicPr>
                  <pic:blipFill>
                    <a:blip r:embed="rId30"/>
                    <a:stretch>
                      <a:fillRect/>
                    </a:stretch>
                  </pic:blipFill>
                  <pic:spPr bwMode="auto">
                    <a:xfrm>
                      <a:off x="0" y="0"/>
                      <a:ext cx="5334000" cy="3769658"/>
                    </a:xfrm>
                    <a:prstGeom prst="rect">
                      <a:avLst/>
                    </a:prstGeom>
                    <a:noFill/>
                    <a:ln w="9525">
                      <a:noFill/>
                      <a:headEnd/>
                      <a:tailEnd/>
                    </a:ln>
                  </pic:spPr>
                </pic:pic>
              </a:graphicData>
            </a:graphic>
          </wp:inline>
        </w:drawing>
      </w:r>
      <w:r>
        <w:t xml:space="preserve"> </w:t>
      </w:r>
      <w:r>
        <w:t xml:space="preserve">{#fig:elec_supply_chain}</w:t>
      </w:r>
    </w:p>
    <w:bookmarkStart w:id="33" w:name="synchronous-and-control-areas"/>
    <w:p>
      <w:pPr>
        <w:pStyle w:val="Heading3"/>
      </w:pPr>
      <w:r>
        <w:rPr>
          <w:rStyle w:val="SectionNumber"/>
        </w:rPr>
        <w:t xml:space="preserve">4.3.1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stable operation, AC frequency should be close to the system’s nominal value and more-or-less uniform across the synchronous area. A</w:t>
      </w:r>
      <w:r>
        <w:t xml:space="preserve"> </w:t>
      </w:r>
      <w:r>
        <w:rPr>
          <w:iCs/>
          <w:i/>
        </w:rPr>
        <w:t xml:space="preserve">control area</w:t>
      </w:r>
      <w:r>
        <w:t xml:space="preserve">, on the other hand, is a network area in which a</w:t>
      </w:r>
      <w:r>
        <w:t xml:space="preserve"> </w:t>
      </w:r>
      <w:r>
        <w:rPr>
          <w:iCs/>
          <w:i/>
        </w:rPr>
        <w:t xml:space="preserve">system operator</w:t>
      </w:r>
      <w:r>
        <w:t xml:space="preserve"> </w:t>
      </w:r>
      <w:r>
        <w:t xml:space="preserve">(SO) is responsible for maintaining a balance between supply and demand for electrical power. Whether the term</w:t>
      </w:r>
      <w:r>
        <w:t xml:space="preserve"> </w:t>
      </w:r>
      <w:r>
        <w:t xml:space="preserve">“</w:t>
      </w:r>
      <w:r>
        <w:t xml:space="preserve">power system</w:t>
      </w:r>
      <w:r>
        <w:t xml:space="preserve">”</w:t>
      </w:r>
      <w:r>
        <w:t xml:space="preserve"> </w:t>
      </w:r>
      <w:r>
        <w:t xml:space="preserve">refers to a synchronous area or a control area is often dependent on context — in particular,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f4a184150f583a127b538c8ab79b807384ea09e">
        <w:r>
          <w:rPr>
            <w:rStyle w:val="Hyperlink"/>
          </w:rPr>
          <w:t xml:space="preserve">Schittekatte and Pototschnig, 2022</w:t>
        </w:r>
      </w:hyperlink>
      <w:r>
        <w:t xml:space="preserve">;</w:t>
      </w:r>
      <w:r>
        <w:t xml:space="preserve"> </w:t>
      </w:r>
      <w:hyperlink w:anchor="Xf60ba79c5a390b48078fe0aac1b6dc3b2ec7b10">
        <w:r>
          <w:rPr>
            <w:rStyle w:val="Hyperlink"/>
            <w:bCs/>
            <w:b/>
          </w:rPr>
          <w:t xml:space="preserve">northamericanelectricreliabilitycorporationNERCInterconnections20?</w:t>
        </w:r>
      </w:hyperlink>
      <w:r>
        <w:t xml:space="preserve">)</w:t>
      </w:r>
      <w:r>
        <w:t xml:space="preserve">.</w:t>
      </w:r>
    </w:p>
    <w:bookmarkEnd w:id="33"/>
    <w:bookmarkEnd w:id="34"/>
    <w:bookmarkStart w:id="53" w:name="power-system-operations"/>
    <w:p>
      <w:pPr>
        <w:pStyle w:val="Heading2"/>
      </w:pPr>
      <w:r>
        <w:rPr>
          <w:rStyle w:val="SectionNumber"/>
        </w:rPr>
        <w:t xml:space="preserve">4.4</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that include generators, loads, network elements and energy storage resources, which can act as both a generator and a load. In practice, however, power system operation is inseparable from the economic objective imposed upon SOs: minimise system costs (or under some market paradigms described in Section </w:t>
      </w:r>
      <w:r>
        <w:rPr>
          <w:bCs/>
          <w:b/>
        </w:rPr>
        <w:t xml:space="preserve">¿sec:lit_review-operational_paradigms?</w:t>
      </w:r>
      <w:r>
        <w:t xml:space="preserve">, maximise the value of trade) whilst continuously maintaining a balance between active power supply &amp; demand and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Noting that planning &amp; investment have a large bearing on the manner in which a power system is operated (and vice versa), Figure </w:t>
      </w:r>
      <w:r>
        <w:rPr>
          <w:bCs/>
          <w:b/>
        </w:rPr>
        <w:t xml:space="preserve">¿fig:power_system_timeframes?</w:t>
      </w:r>
      <w:r>
        <w:t xml:space="preserve"> </w:t>
      </w:r>
      <w:r>
        <w:t xml:space="preserve">presents a high-level overview of the power system concepts and phenomena that are particularly relevant within operational timeframes. It also outlines processes, services and markets in operational timeframes that are relevant to active power balancing, with those that are discussed in this thesis in detail highlighted in bold red text.</w:t>
      </w:r>
    </w:p>
    <w:p>
      <w:pPr>
        <w:pStyle w:val="BodyText"/>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and phenomena were adapted from Machowski et al. (2020), and the figure layout was inspired by Wilson (2020)" title="" id="36" name="Picture"/>
            <a:graphic>
              <a:graphicData uri="http://schemas.openxmlformats.org/drawingml/2006/picture">
                <pic:pic>
                  <pic:nvPicPr>
                    <pic:cNvPr descr="source/figures/power_system_timeframes.pdf" id="37" name="Picture"/>
                    <pic:cNvPicPr>
                      <a:picLocks noChangeArrowheads="1" noChangeAspect="1"/>
                    </pic:cNvPicPr>
                  </pic:nvPicPr>
                  <pic:blipFill>
                    <a:blip r:embed="rId3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{#fig:power_system_timeframes width=100% short-caption=</w:t>
      </w:r>
      <w:r>
        <w:t xml:space="preserve">“</w:t>
      </w:r>
      <w:r>
        <w:t xml:space="preserve">High-level overview of power system concepts, phenomena and processes, services &amp; markets relevant within operational timeframes</w:t>
      </w:r>
      <w:r>
        <w:t xml:space="preserve">”</w:t>
      </w:r>
      <w:r>
        <w:t xml:space="preserve">}</w:t>
      </w:r>
    </w:p>
    <w:bookmarkStart w:id="41" w:name="power-system-timeframes"/>
    <w:p>
      <w:pPr>
        <w:pStyle w:val="Heading3"/>
      </w:pPr>
      <w:r>
        <w:rPr>
          <w:rStyle w:val="SectionNumber"/>
        </w:rPr>
        <w:t xml:space="preserve">4.4.1</w:t>
      </w:r>
      <w:r>
        <w:tab/>
      </w:r>
      <w:r>
        <w:t xml:space="preserve">Power system timeframes</w:t>
      </w:r>
    </w:p>
    <w:p>
      <w:pPr>
        <w:pStyle w:val="FirstParagraph"/>
      </w:pPr>
      <w:r>
        <w:t xml:space="preserve">The dynamic behaviour of a power system is primarily determined by its</w:t>
      </w:r>
      <w:r>
        <w:t xml:space="preserve"> </w:t>
      </w:r>
      <w:r>
        <w:t xml:space="preserve">underlying energy conversion processes and the way in which components</w:t>
      </w:r>
      <w:r>
        <w:t xml:space="preserve"> </w:t>
      </w:r>
      <w:r>
        <w:t xml:space="preserve">and resources are coupled to a synchronous area.</w:t>
      </w:r>
      <w:r>
        <w:t xml:space="preserve"> </w:t>
      </w:r>
      <w:r>
        <w:rPr>
          <w:iCs/>
          <w:i/>
        </w:rPr>
        <w:t xml:space="preserve">Power system dynamics</w:t>
      </w:r>
      <w:r>
        <w:t xml:space="preserve"> </w:t>
      </w:r>
      <w:r>
        <w:t xml:space="preserve">can be classified based on their physical characteristics and on the</w:t>
      </w:r>
      <w:r>
        <w:t xml:space="preserve"> </w:t>
      </w:r>
      <w:r>
        <w:t xml:space="preserve">timescales at which they dominate</w:t>
      </w:r>
      <w:r>
        <w:t xml:space="preserve"> </w:t>
      </w:r>
      <w:r>
        <w:t xml:space="preserve">(</w:t>
      </w:r>
      <w:hyperlink w:anchor="fig:dynamics">
        <w:r>
          <w:rPr>
            <w:rStyle w:val="Hyperlink"/>
          </w:rPr>
          <w:t xml:space="preserve">3</w:t>
        </w:r>
      </w:hyperlink>
      <w:r>
        <w:t xml:space="preserve">). In</w:t>
      </w:r>
      <w:r>
        <w:t xml:space="preserve"> </w:t>
      </w:r>
      <w:r>
        <w:t xml:space="preserve">the context of power system frequency control, we are concerned with the</w:t>
      </w:r>
      <w:r>
        <w:t xml:space="preserve"> </w:t>
      </w:r>
      <w:r>
        <w:t xml:space="preserve">following classifications of power system dynamics</w:t>
      </w:r>
      <w:r>
        <w:t xml:space="preserve"> </w:t>
      </w:r>
      <w:r>
        <w:t xml:space="preserve">(</w:t>
      </w:r>
      <w:hyperlink w:anchor="ref-Machowski2020">
        <w:r>
          <w:rPr>
            <w:rStyle w:val="Hyperlink"/>
            <w:bCs/>
            <w:b/>
          </w:rPr>
          <w:t xml:space="preserve">Machowski2020?</w:t>
        </w:r>
      </w:hyperlink>
      <w:r>
        <w:t xml:space="preserve">)</w:t>
      </w:r>
      <w:r>
        <w:t xml:space="preserve">:</w:t>
      </w:r>
    </w:p>
    <w:p>
      <w:pPr>
        <w:numPr>
          <w:ilvl w:val="0"/>
          <w:numId w:val="1002"/>
        </w:numPr>
      </w:pPr>
      <w:r>
        <w:rPr>
          <w:iCs/>
          <w:i/>
        </w:rPr>
        <w:t xml:space="preserve">Electromagnetic</w:t>
      </w:r>
      <w:r>
        <w:t xml:space="preserve"> </w:t>
      </w:r>
      <w:r>
        <w:t xml:space="preserve">dynamics, which include millisecond-scale</w:t>
      </w:r>
      <w:r>
        <w:t xml:space="preserve"> </w:t>
      </w:r>
      <w:r>
        <w:t xml:space="preserve">phenomena that occur due to the coupling of electrical and magnetic</w:t>
      </w:r>
      <w:r>
        <w:t xml:space="preserve"> </w:t>
      </w:r>
      <w:r>
        <w:t xml:space="preserve">fields within synchronous machines, within the power electronics</w:t>
      </w:r>
      <w:r>
        <w:t xml:space="preserve"> </w:t>
      </w:r>
      <w:r>
        <w:t xml:space="preserve">devices of</w:t>
      </w:r>
      <w:r>
        <w:t xml:space="preserve"> </w:t>
      </w:r>
      <w:r>
        <w:rPr>
          <w:iCs/>
          <w:i/>
        </w:rPr>
        <w:t xml:space="preserve">inverter-based resources</w:t>
      </w:r>
      <w:r>
        <w:t xml:space="preserve"> </w:t>
      </w:r>
      <w:r>
        <w:t xml:space="preserve">(IBR), and between synchronous</w:t>
      </w:r>
      <w:r>
        <w:t xml:space="preserve"> </w:t>
      </w:r>
      <w:r>
        <w:t xml:space="preserve">machines, IBR and the wider network.</w:t>
      </w:r>
    </w:p>
    <w:p>
      <w:pPr>
        <w:numPr>
          <w:ilvl w:val="0"/>
          <w:numId w:val="1002"/>
        </w:numPr>
      </w:pPr>
      <w:r>
        <w:rPr>
          <w:iCs/>
          <w:i/>
        </w:rPr>
        <w:t xml:space="preserve">Electromechanical</w:t>
      </w:r>
      <w:r>
        <w:t xml:space="preserve"> </w:t>
      </w:r>
      <w:r>
        <w:t xml:space="preserve">dynamics, which is a slower set of phenomena</w:t>
      </w:r>
      <w:r>
        <w:t xml:space="preserve"> </w:t>
      </w:r>
      <w:r>
        <w:t xml:space="preserve">(seconds timescale) that arise as a result of electromagnetic fields</w:t>
      </w:r>
      <w:r>
        <w:t xml:space="preserve"> </w:t>
      </w:r>
      <w:r>
        <w:t xml:space="preserve">interacting with rotating masses (e.g. turbines and motors).</w:t>
      </w:r>
    </w:p>
    <w:p>
      <w:pPr>
        <w:numPr>
          <w:ilvl w:val="0"/>
          <w:numId w:val="1002"/>
        </w:numPr>
      </w:pPr>
      <w:r>
        <w:rPr>
          <w:iCs/>
          <w:i/>
        </w:rPr>
        <w:t xml:space="preserve">Thermodynamic</w:t>
      </w:r>
      <w:r>
        <w:t xml:space="preserve"> </w:t>
      </w:r>
      <w:r>
        <w:t xml:space="preserve">phenomena, which typically encompass chemical fuel</w:t>
      </w:r>
      <w:r>
        <w:t xml:space="preserve"> </w:t>
      </w:r>
      <w:r>
        <w:t xml:space="preserve">conversion processes (e.g. boilers and their control) in</w:t>
      </w:r>
      <w:r>
        <w:t xml:space="preserve"> </w:t>
      </w:r>
      <w:r>
        <w:t xml:space="preserve">conventional power systems. We will extend this definition to</w:t>
      </w:r>
      <w:r>
        <w:t xml:space="preserve"> </w:t>
      </w:r>
      <w:r>
        <w:t xml:space="preserve">include the dynamic behaviour of primary energy sources for</w:t>
      </w:r>
      <w:r>
        <w:t xml:space="preserve"> </w:t>
      </w:r>
      <w:r>
        <w:t xml:space="preserve">hydroelectricity and</w:t>
      </w:r>
      <w:r>
        <w:t xml:space="preserve"> </w:t>
      </w:r>
      <w:r>
        <w:rPr>
          <w:iCs/>
          <w:i/>
        </w:rPr>
        <w:t xml:space="preserve">variable renewable energy</w:t>
      </w:r>
      <w:r>
        <w:t xml:space="preserve"> </w:t>
      </w:r>
      <w:r>
        <w:t xml:space="preserve">(VRE), and the</w:t>
      </w:r>
      <w:r>
        <w:t xml:space="preserve"> </w:t>
      </w:r>
      <w:r>
        <w:t xml:space="preserve">energy conversion process for battery energy storage systems (BESS).</w:t>
      </w:r>
      <w:r>
        <w:t xml:space="preserve"> </w:t>
      </w:r>
      <w:r>
        <w:t xml:space="preserve">These phenomena occur multiple timeframes, from seconds to minutes</w:t>
      </w:r>
      <w:r>
        <w:t xml:space="preserve"> </w:t>
      </w:r>
      <w:r>
        <w:t xml:space="preserve">to hours.</w:t>
      </w:r>
    </w:p>
    <w:p>
      <w:pPr>
        <w:pStyle w:val="CaptionedFigure"/>
      </w:pPr>
      <w:r>
        <w:drawing>
          <wp:inline>
            <wp:extent cx="5334000" cy="2160000"/>
            <wp:effectExtent b="0" l="0" r="0" t="0"/>
            <wp:docPr descr="Timeframes of power system dynamics. Source: (Machowski2020?)." title="" id="39" name="Picture"/>
            <a:graphic>
              <a:graphicData uri="http://schemas.openxmlformats.org/drawingml/2006/picture">
                <pic:pic>
                  <pic:nvPicPr>
                    <pic:cNvPr descr="source/figures/dynamics.png" id="40" name="Picture"/>
                    <pic:cNvPicPr>
                      <a:picLocks noChangeArrowheads="1" noChangeAspect="1"/>
                    </pic:cNvPicPr>
                  </pic:nvPicPr>
                  <pic:blipFill>
                    <a:blip r:embed="rId38"/>
                    <a:stretch>
                      <a:fillRect/>
                    </a:stretch>
                  </pic:blipFill>
                  <pic:spPr bwMode="auto">
                    <a:xfrm>
                      <a:off x="0" y="0"/>
                      <a:ext cx="5334000" cy="2160000"/>
                    </a:xfrm>
                    <a:prstGeom prst="rect">
                      <a:avLst/>
                    </a:prstGeom>
                    <a:noFill/>
                    <a:ln w="9525">
                      <a:noFill/>
                      <a:headEnd/>
                      <a:tailEnd/>
                    </a:ln>
                  </pic:spPr>
                </pic:pic>
              </a:graphicData>
            </a:graphic>
          </wp:inline>
        </w:drawing>
      </w:r>
    </w:p>
    <w:p>
      <w:pPr>
        <w:pStyle w:val="ImageCaption"/>
      </w:pPr>
      <w:r>
        <w:t xml:space="preserve">Figure 1: Timeframes of power system dynamics. Source:</w:t>
      </w:r>
      <w:r>
        <w:t xml:space="preserve"> </w:t>
      </w:r>
      <w:r>
        <w:t xml:space="preserve">(</w:t>
      </w:r>
      <w:hyperlink w:anchor="ref-Machowski2020">
        <w:r>
          <w:rPr>
            <w:rStyle w:val="Hyperlink"/>
            <w:bCs/>
            <w:b/>
          </w:rPr>
          <w:t xml:space="preserve">Machowski2020?</w:t>
        </w:r>
      </w:hyperlink>
      <w:r>
        <w:t xml:space="preserve">)</w:t>
      </w:r>
      <w:r>
        <w:t xml:space="preserve">.</w:t>
      </w:r>
    </w:p>
    <w:bookmarkEnd w:id="41"/>
    <w:bookmarkStart w:id="43" w:name="the-need-for-system-balance"/>
    <w:p>
      <w:pPr>
        <w:pStyle w:val="Heading3"/>
      </w:pPr>
      <w:r>
        <w:rPr>
          <w:rStyle w:val="SectionNumber"/>
        </w:rPr>
        <w:t xml:space="preserve">4.4.2</w:t>
      </w:r>
      <w:r>
        <w:tab/>
      </w:r>
      <w:r>
        <w:t xml:space="preserve">The need for system balance</w:t>
      </w:r>
    </w:p>
    <w:bookmarkStart w:id="42" w:name="synchronism"/>
    <w:p>
      <w:pPr>
        <w:pStyle w:val="Heading4"/>
      </w:pPr>
      <w:r>
        <w:rPr>
          <w:rStyle w:val="SectionNumber"/>
        </w:rPr>
        <w:t xml:space="preserve">4.4.2.1</w:t>
      </w:r>
      <w:r>
        <w:tab/>
      </w:r>
      <w:r>
        <w:t xml:space="preserve">Synchronism</w:t>
      </w:r>
    </w:p>
    <w:p>
      <w:pPr>
        <w:pStyle w:val="FirstParagraph"/>
      </w:pPr>
      <w:r>
        <w:t xml:space="preserve">Following synchronisation, generators (e.g. turbines) and loads (e.g.</w:t>
      </w:r>
      <w:r>
        <w:t xml:space="preserve"> </w:t>
      </w:r>
      <w:r>
        <w:t xml:space="preserve">motors) that rotate at a speed proportional to the power system</w:t>
      </w:r>
      <w:r>
        <w:t xml:space="preserve"> </w:t>
      </w:r>
      <w:r>
        <w:t xml:space="preserve">frequency are known as</w:t>
      </w:r>
      <w:r>
        <w:t xml:space="preserve"> </w:t>
      </w:r>
      <w:r>
        <w:rPr>
          <w:iCs/>
          <w:i/>
        </w:rPr>
        <w:t xml:space="preserve">synchronous machines</w:t>
      </w:r>
      <w:r>
        <w:t xml:space="preserve">. As shown in</w:t>
      </w:r>
      <w:r>
        <w:t xml:space="preserve"> </w:t>
      </w:r>
      <w:hyperlink w:anchor="eq:synch_speed">
        <w:r>
          <w:rPr>
            <w:rStyle w:val="Hyperlink"/>
          </w:rPr>
          <w:t xml:space="preserve">[eq:synch_speed]</w:t>
        </w:r>
      </w:hyperlink>
      <w:r>
        <w:t xml:space="preserve">, the</w:t>
      </w:r>
      <w:r>
        <w:t xml:space="preserve"> </w:t>
      </w:r>
      <w:r>
        <w:rPr>
          <w:iCs/>
          <w:i/>
        </w:rPr>
        <w:t xml:space="preserve">synchronous speed</w:t>
      </w:r>
      <w:r>
        <w:t xml:space="preserve"> </w:t>
      </w:r>
      <w:r>
        <w:t xml:space="preserve">is dependent on the</w:t>
      </w:r>
      <w:r>
        <w:t xml:space="preserve"> </w:t>
      </w:r>
      <w:r>
        <w:t xml:space="preserve">number of poles of the machine and the power system frequency</w:t>
      </w:r>
      <w:r>
        <w:t xml:space="preserve"> </w:t>
      </w:r>
      <w:r>
        <w:t xml:space="preserve">(</w:t>
      </w:r>
      <w:hyperlink w:anchor="ref-Grainger1994">
        <w:r>
          <w:rPr>
            <w:rStyle w:val="Hyperlink"/>
            <w:bCs/>
            <w:b/>
          </w:rPr>
          <w:t xml:space="preserve">Grainger1994?</w:t>
        </w:r>
      </w:hyperlink>
      <w:r>
        <w:t xml:space="preserve">)</w:t>
      </w:r>
      <w:r>
        <w:t xml:space="preserve">.</w:t>
      </w:r>
    </w:p>
    <w:p>
      <w:pPr>
        <w:pStyle w:val="BodyText"/>
      </w:pPr>
      <m:oMathPara>
        <m:oMathParaPr>
          <m:jc m:val="center"/>
        </m:oMathParaPr>
        <m:oMath>
          <m:sSub>
            <m:e>
              <m:r>
                <m:t>N</m:t>
              </m:r>
            </m:e>
            <m:sub>
              <m:r>
                <m:t>s</m:t>
              </m:r>
            </m:sub>
          </m:sSub>
          <m:r>
            <m:rPr>
              <m:sty m:val="p"/>
            </m:rPr>
            <m:t>=</m:t>
          </m:r>
          <m:f>
            <m:fPr>
              <m:type m:val="bar"/>
            </m:fPr>
            <m:num>
              <m:r>
                <m:t>120</m:t>
              </m:r>
              <m:r>
                <m:t>f</m:t>
              </m:r>
            </m:num>
            <m:den>
              <m:r>
                <m:t>P</m:t>
              </m:r>
            </m:den>
          </m:f>
        </m:oMath>
      </m:oMathPara>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w:t>
      </w:r>
      <w:r>
        <w:t xml:space="preserve"> </w:t>
      </w:r>
      <w:r>
        <w:t xml:space="preserve">the number of magnetic poles and</w:t>
      </w:r>
      <w:r>
        <w:t xml:space="preserve"> </w:t>
      </w:r>
      <m:oMath>
        <m:r>
          <m:t>f</m:t>
        </m:r>
      </m:oMath>
      <w:r>
        <w:t xml:space="preserve"> </w:t>
      </w:r>
      <w:r>
        <w:t xml:space="preserve">is the electrical frequency in Hz.</w:t>
      </w:r>
    </w:p>
    <w:p>
      <w:pPr>
        <w:pStyle w:val="BodyText"/>
      </w:pPr>
      <w:r>
        <w:t xml:space="preserve">Power system frequency control is required for the stable operation of a</w:t>
      </w:r>
      <w:r>
        <w:t xml:space="preserve"> </w:t>
      </w:r>
      <w:r>
        <w:t xml:space="preserve">synchronous area. Should synchronous machines be exposed to high RoCoFs</w:t>
      </w:r>
      <w:r>
        <w:t xml:space="preserve"> </w:t>
      </w:r>
      <w:r>
        <w:t xml:space="preserve">and sufficiently serious frequency deviations, they may experience</w:t>
      </w:r>
      <w:r>
        <w:t xml:space="preserve"> </w:t>
      </w:r>
      <w:r>
        <w:t xml:space="preserve">equipment-damaging vibrations</w:t>
      </w:r>
      <w:r>
        <w:t xml:space="preserve"> </w:t>
      </w:r>
      <w:r>
        <w:t xml:space="preserve">(</w:t>
      </w:r>
      <w:hyperlink w:anchor="ref-Ulbig2014">
        <w:r>
          <w:rPr>
            <w:rStyle w:val="Hyperlink"/>
            <w:bCs/>
            <w:b/>
          </w:rPr>
          <w:t xml:space="preserve">Ulbig2014?</w:t>
        </w:r>
      </w:hyperlink>
      <w:r>
        <w:t xml:space="preserve">)</w:t>
      </w:r>
      <w:r>
        <w:t xml:space="preserve"> </w:t>
      </w:r>
      <w:r>
        <w:t xml:space="preserve">or suffer from pole slipping</w:t>
      </w:r>
      <w:r>
        <w:t xml:space="preserve"> </w:t>
      </w:r>
      <w:r>
        <w:t xml:space="preserve">due to a loss of synchronism</w:t>
      </w:r>
      <w:r>
        <w:t xml:space="preserve"> </w:t>
      </w:r>
      <w:r>
        <w:t xml:space="preserve">(</w:t>
      </w:r>
      <w:hyperlink w:anchor="ref-DGAConsulting2016">
        <w:r>
          <w:rPr>
            <w:rStyle w:val="Hyperlink"/>
            <w:bCs/>
            <w:b/>
          </w:rPr>
          <w:t xml:space="preserve">DGAConsulting2016?</w:t>
        </w:r>
      </w:hyperlink>
      <w:r>
        <w:t xml:space="preserve">)</w:t>
      </w:r>
      <w:r>
        <w:t xml:space="preserve">. As such, if frequency</w:t>
      </w:r>
      <w:r>
        <w:t xml:space="preserve"> </w:t>
      </w:r>
      <w:r>
        <w:t xml:space="preserve">control services are insufficient in their response,</w:t>
      </w:r>
      <w:r>
        <w:t xml:space="preserve"> </w:t>
      </w:r>
      <w:r>
        <w:rPr>
          <w:iCs/>
          <w:i/>
        </w:rPr>
        <w:t xml:space="preserve">under-frequency</w:t>
      </w:r>
      <w:r>
        <w:rPr>
          <w:iCs/>
          <w:i/>
        </w:rPr>
        <w:t xml:space="preserve"> </w:t>
      </w:r>
      <w:r>
        <w:rPr>
          <w:iCs/>
          <w:i/>
        </w:rPr>
        <w:t xml:space="preserve">load shedding</w:t>
      </w:r>
      <w:r>
        <w:t xml:space="preserve"> </w:t>
      </w:r>
      <w:r>
        <w:t xml:space="preserve">(UFLS) relays or</w:t>
      </w:r>
      <w:r>
        <w:t xml:space="preserve"> </w:t>
      </w:r>
      <w:r>
        <w:rPr>
          <w:iCs/>
          <w:i/>
        </w:rPr>
        <w:t xml:space="preserve">over-frequency generation shedding</w:t>
      </w:r>
      <w:r>
        <w:t xml:space="preserve"> </w:t>
      </w:r>
      <w:r>
        <w:t xml:space="preserve">(OFGS) relays, and frequency-sensitive equipment protection relays are</w:t>
      </w:r>
      <w:r>
        <w:t xml:space="preserve"> </w:t>
      </w:r>
      <w:r>
        <w:t xml:space="preserve">used as emergency frequency control schemes and equipment protection</w:t>
      </w:r>
      <w:r>
        <w:t xml:space="preserve"> </w:t>
      </w:r>
      <w:r>
        <w:t xml:space="preserve">measures, respectively</w:t>
      </w:r>
      <w:r>
        <w:t xml:space="preserve"> </w:t>
      </w:r>
      <w:r>
        <w:t xml:space="preserve">(</w:t>
      </w:r>
      <w:hyperlink w:anchor="ref-Eto2018">
        <w:r>
          <w:rPr>
            <w:rStyle w:val="Hyperlink"/>
            <w:bCs/>
            <w:b/>
          </w:rPr>
          <w:t xml:space="preserve">Eto2018?</w:t>
        </w:r>
      </w:hyperlink>
      <w:r>
        <w:t xml:space="preserve">;</w:t>
      </w:r>
      <w:r>
        <w:t xml:space="preserve"> </w:t>
      </w:r>
      <w:hyperlink w:anchor="ref-AustralianEnergyMarketCommission2019">
        <w:r>
          <w:rPr>
            <w:rStyle w:val="Hyperlink"/>
            <w:bCs/>
            <w:b/>
          </w:rPr>
          <w:t xml:space="preserve">AustralianEnergyMarketCommission2019?</w:t>
        </w:r>
      </w:hyperlink>
      <w:r>
        <w:t xml:space="preserve">)</w:t>
      </w:r>
      <w:r>
        <w:t xml:space="preserve">.</w:t>
      </w:r>
    </w:p>
    <w:p>
      <w:pPr>
        <w:pStyle w:val="BodyText"/>
      </w:pPr>
      <w:r>
        <w:t xml:space="preserve">The activation of these schemes is undesirable, particularly as UFLS is</w:t>
      </w:r>
      <w:r>
        <w:t xml:space="preserve"> </w:t>
      </w:r>
      <w:r>
        <w:t xml:space="preserve">reflected in power system reliability metrics. Moreover, the presence</w:t>
      </w:r>
      <w:r>
        <w:t xml:space="preserve"> </w:t>
      </w:r>
      <w:r>
        <w:t xml:space="preserve">and configuration of these schemes in the power system means that if</w:t>
      </w:r>
      <w:r>
        <w:t xml:space="preserve"> </w:t>
      </w:r>
      <w:r>
        <w:t xml:space="preserve">frequency deviations are sufficiently large, a cascading series of trips</w:t>
      </w:r>
      <w:r>
        <w:t xml:space="preserve"> </w:t>
      </w:r>
      <w:r>
        <w:t xml:space="preserve">and faults may aggravate the active power imbalance and lead to power</w:t>
      </w:r>
      <w:r>
        <w:t xml:space="preserve"> </w:t>
      </w:r>
      <w:r>
        <w:t xml:space="preserve">system black-out and collapse</w:t>
      </w:r>
      <w:r>
        <w:t xml:space="preserve"> </w:t>
      </w:r>
      <w:r>
        <w:t xml:space="preserve">(</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w:t>
      </w:r>
    </w:p>
    <w:bookmarkEnd w:id="42"/>
    <w:bookmarkEnd w:id="43"/>
    <w:bookmarkStart w:id="52" w:name="threats-to-system-balance"/>
    <w:p>
      <w:pPr>
        <w:pStyle w:val="Heading3"/>
      </w:pPr>
      <w:r>
        <w:rPr>
          <w:rStyle w:val="SectionNumber"/>
        </w:rPr>
        <w:t xml:space="preserve">4.4.3</w:t>
      </w:r>
      <w:r>
        <w:tab/>
      </w:r>
      <w:r>
        <w:t xml:space="preserve">Threats to system balance</w:t>
      </w:r>
    </w:p>
    <w:p>
      <w:pPr>
        <w:pStyle w:val="FirstParagraph"/>
      </w:pPr>
      <w:r>
        <w:t xml:space="preserve">As highlighted in</w:t>
      </w:r>
      <w:r>
        <w:t xml:space="preserve"> </w:t>
      </w:r>
      <w:hyperlink w:anchor="eq:swing_area">
        <w:r>
          <w:rPr>
            <w:rStyle w:val="Hyperlink"/>
          </w:rPr>
          <w:t xml:space="preserve">[eq:swing_area]</w:t>
        </w:r>
      </w:hyperlink>
      <w:r>
        <w:t xml:space="preserve">, the AC frequency of a power system can</w:t>
      </w:r>
      <w:r>
        <w:t xml:space="preserve"> </w:t>
      </w:r>
      <w:r>
        <w:t xml:space="preserve">deviate from its nominal value when there is an imbalance between power</w:t>
      </w:r>
      <w:r>
        <w:t xml:space="preserve"> </w:t>
      </w:r>
      <w:r>
        <w:t xml:space="preserve">supply and demand in the synchronous area. Active power imbalances are</w:t>
      </w:r>
      <w:r>
        <w:t xml:space="preserve"> </w:t>
      </w:r>
      <w:r>
        <w:t xml:space="preserve">the result of power system</w:t>
      </w:r>
      <w:r>
        <w:t xml:space="preserve"> </w:t>
      </w:r>
      <w:r>
        <w:rPr>
          <w:iCs/>
          <w:i/>
        </w:rPr>
        <w:t xml:space="preserve">variability</w:t>
      </w:r>
      <w:r>
        <w:t xml:space="preserve"> </w:t>
      </w:r>
      <w:r>
        <w:t xml:space="preserve">and</w:t>
      </w:r>
      <w:r>
        <w:t xml:space="preserve"> </w:t>
      </w:r>
      <w:r>
        <w:rPr>
          <w:iCs/>
          <w:i/>
        </w:rPr>
        <w:t xml:space="preserve">uncertainty</w:t>
      </w:r>
      <w:r>
        <w:t xml:space="preserve">.</w:t>
      </w:r>
    </w:p>
    <w:bookmarkStart w:id="44" w:name="variability"/>
    <w:p>
      <w:pPr>
        <w:pStyle w:val="Heading4"/>
      </w:pPr>
      <w:r>
        <w:rPr>
          <w:rStyle w:val="SectionNumber"/>
        </w:rPr>
        <w:t xml:space="preserve">4.4.3.1</w:t>
      </w:r>
      <w:r>
        <w:tab/>
      </w:r>
      <w:r>
        <w:t xml:space="preserve">Variability</w:t>
      </w:r>
    </w:p>
    <w:p>
      <w:pPr>
        <w:pStyle w:val="FirstParagraph"/>
      </w:pPr>
      <w:r>
        <w:t xml:space="preserve">Variability refers to expected or forecast fluctuations in the balance</w:t>
      </w:r>
      <w:r>
        <w:t xml:space="preserve"> </w:t>
      </w:r>
      <w:r>
        <w:t xml:space="preserve">of active power supply and demand</w:t>
      </w:r>
      <w:r>
        <w:t xml:space="preserve"> </w:t>
      </w:r>
      <w:r>
        <w:t xml:space="preserve">(</w:t>
      </w:r>
      <w:hyperlink w:anchor="ref-Ela2011">
        <w:r>
          <w:rPr>
            <w:rStyle w:val="Hyperlink"/>
            <w:bCs/>
            <w:b/>
          </w:rPr>
          <w:t xml:space="preserve">Ela2011?</w:t>
        </w:r>
      </w:hyperlink>
      <w:r>
        <w:t xml:space="preserve">)</w:t>
      </w:r>
      <w:r>
        <w:t xml:space="preserve">. Sources of variability</w:t>
      </w:r>
      <w:r>
        <w:t xml:space="preserve"> </w:t>
      </w:r>
      <w:r>
        <w:t xml:space="preserve">include fluctuations in load, oscillatory active power output from</w:t>
      </w:r>
      <w:r>
        <w:t xml:space="preserve"> </w:t>
      </w:r>
      <w:r>
        <w:t xml:space="preserve">synchronous generators and changing weather conditions (e.g. cloud</w:t>
      </w:r>
      <w:r>
        <w:t xml:space="preserve"> </w:t>
      </w:r>
      <w:r>
        <w:t xml:space="preserve">cover, wind speed) that may affect the active power output of VRE</w:t>
      </w:r>
      <w:r>
        <w:t xml:space="preserve"> </w:t>
      </w:r>
      <w:r>
        <w:t xml:space="preserve">(</w:t>
      </w:r>
      <w:hyperlink w:anchor="ref-Ela2011">
        <w:r>
          <w:rPr>
            <w:rStyle w:val="Hyperlink"/>
            <w:bCs/>
            <w:b/>
          </w:rPr>
          <w:t xml:space="preserve">Ela2011?</w:t>
        </w:r>
      </w:hyperlink>
      <w:r>
        <w:t xml:space="preserve">;</w:t>
      </w:r>
      <w:r>
        <w:t xml:space="preserve"> </w:t>
      </w:r>
      <w:hyperlink w:anchor="ref-Bloom2017">
        <w:r>
          <w:rPr>
            <w:rStyle w:val="Hyperlink"/>
            <w:bCs/>
            <w:b/>
          </w:rPr>
          <w:t xml:space="preserve">Bloom2017?</w:t>
        </w:r>
      </w:hyperlink>
      <w:r>
        <w:t xml:space="preserve">;</w:t>
      </w:r>
      <w:r>
        <w:t xml:space="preserve"> </w:t>
      </w:r>
      <w:hyperlink w:anchor="ref-Riesz2015a">
        <w:r>
          <w:rPr>
            <w:rStyle w:val="Hyperlink"/>
            <w:bCs/>
            <w:b/>
          </w:rPr>
          <w:t xml:space="preserve">Riesz2015a?</w:t>
        </w:r>
      </w:hyperlink>
      <w:r>
        <w:t xml:space="preserve">)</w:t>
      </w:r>
      <w:r>
        <w:t xml:space="preserve">.</w:t>
      </w:r>
    </w:p>
    <w:bookmarkEnd w:id="44"/>
    <w:bookmarkStart w:id="45" w:name="uncertainty"/>
    <w:p>
      <w:pPr>
        <w:pStyle w:val="Heading4"/>
      </w:pPr>
      <w:r>
        <w:rPr>
          <w:rStyle w:val="SectionNumber"/>
        </w:rPr>
        <w:t xml:space="preserve">4.4.3.2</w:t>
      </w:r>
      <w:r>
        <w:tab/>
      </w:r>
      <w:r>
        <w:t xml:space="preserve">Uncertainty</w:t>
      </w:r>
    </w:p>
    <w:p>
      <w:pPr>
        <w:pStyle w:val="FirstParagraph"/>
      </w:pPr>
      <w:r>
        <w:t xml:space="preserve">Uncertainty refers to unexpected fluctuations in the balance of active</w:t>
      </w:r>
      <w:r>
        <w:t xml:space="preserve"> </w:t>
      </w:r>
      <w:r>
        <w:t xml:space="preserve">power supply and demand</w:t>
      </w:r>
      <w:r>
        <w:t xml:space="preserve"> </w:t>
      </w:r>
      <w:r>
        <w:t xml:space="preserve">(</w:t>
      </w:r>
      <w:hyperlink w:anchor="ref-Ela2011">
        <w:r>
          <w:rPr>
            <w:rStyle w:val="Hyperlink"/>
            <w:bCs/>
            <w:b/>
          </w:rPr>
          <w:t xml:space="preserve">Ela2011?</w:t>
        </w:r>
      </w:hyperlink>
      <w:r>
        <w:t xml:space="preserve">)</w:t>
      </w:r>
      <w:r>
        <w:t xml:space="preserve">. Power system uncertainty encompasses</w:t>
      </w:r>
      <w:r>
        <w:t xml:space="preserve"> </w:t>
      </w:r>
      <w:r>
        <w:t xml:space="preserve">the unanticipated behaviour of generators, loads and network elements.</w:t>
      </w:r>
      <w:r>
        <w:t xml:space="preserve"> </w:t>
      </w:r>
      <w:r>
        <w:t xml:space="preserve">This includes unexpected outages (known as</w:t>
      </w:r>
      <w:r>
        <w:t xml:space="preserve"> </w:t>
      </w:r>
      <w:r>
        <w:rPr>
          <w:iCs/>
          <w:i/>
        </w:rPr>
        <w:t xml:space="preserve">contingency events</w:t>
      </w:r>
      <w:r>
        <w:t xml:space="preserve">) and</w:t>
      </w:r>
      <w:r>
        <w:t xml:space="preserve"> </w:t>
      </w:r>
      <w:r>
        <w:t xml:space="preserve">weather forecast errors that lead to VRE generation forecast error</w:t>
      </w:r>
      <w:r>
        <w:t xml:space="preserve"> </w:t>
      </w:r>
      <w:r>
        <w:t xml:space="preserve">(</w:t>
      </w:r>
      <w:hyperlink w:anchor="ref-Ela2011">
        <w:r>
          <w:rPr>
            <w:rStyle w:val="Hyperlink"/>
            <w:bCs/>
            <w:b/>
          </w:rPr>
          <w:t xml:space="preserve">Ela2011?</w:t>
        </w:r>
      </w:hyperlink>
      <w:r>
        <w:t xml:space="preserve">;</w:t>
      </w:r>
      <w:r>
        <w:t xml:space="preserve"> </w:t>
      </w:r>
      <w:hyperlink w:anchor="ref-Riesz2015a">
        <w:r>
          <w:rPr>
            <w:rStyle w:val="Hyperlink"/>
            <w:bCs/>
            <w:b/>
          </w:rPr>
          <w:t xml:space="preserve">Riesz2015a?</w:t>
        </w:r>
      </w:hyperlink>
      <w:r>
        <w:t xml:space="preserve">)</w:t>
      </w:r>
      <w:r>
        <w:t xml:space="preserve"> </w:t>
      </w:r>
      <w:r>
        <w:t xml:space="preserve">## Operational paradigms {#sec:lit_review-operational_paradigms}</w:t>
      </w:r>
    </w:p>
    <w:p>
      <w:pPr>
        <w:pStyle w:val="BodyText"/>
      </w:pPr>
      <w:r>
        <w:t xml:space="preserve">Synchronous areas can be subdivided into</w:t>
      </w:r>
      <w:r>
        <w:t xml:space="preserve"> </w:t>
      </w:r>
      <w:r>
        <w:rPr>
          <w:iCs/>
          <w:i/>
        </w:rPr>
        <w:t xml:space="preserve">control areas</w:t>
      </w:r>
      <w:r>
        <w:t xml:space="preserve">, which are typically demarcated by the network boundaries of separate electric utilities or electricity markets</w:t>
      </w:r>
      <w:r>
        <w:t xml:space="preserve"> </w:t>
      </w:r>
      <w:r>
        <w:t xml:space="preserve">(</w:t>
      </w:r>
      <w:hyperlink w:anchor="ref-Grainger1994">
        <w:r>
          <w:rPr>
            <w:rStyle w:val="Hyperlink"/>
            <w:bCs/>
            <w:b/>
          </w:rPr>
          <w:t xml:space="preserve">Grainger1994?</w:t>
        </w:r>
      </w:hyperlink>
      <w:r>
        <w:t xml:space="preserve">;</w:t>
      </w:r>
      <w:r>
        <w:t xml:space="preserve"> </w:t>
      </w:r>
      <w:hyperlink w:anchor="ref-Elgerd1971">
        <w:r>
          <w:rPr>
            <w:rStyle w:val="Hyperlink"/>
            <w:bCs/>
            <w:b/>
          </w:rPr>
          <w:t xml:space="preserve">Elgerd1971?</w:t>
        </w:r>
      </w:hyperlink>
      <w:r>
        <w:t xml:space="preserve">)</w:t>
      </w:r>
      <w:r>
        <w:t xml:space="preserve">. Within a control area, the control of AC frequency is the responsibility of a system operator.</w:t>
      </w:r>
      <w:r>
        <w:t xml:space="preserve"> </w:t>
      </w:r>
      <w:r>
        <w:t xml:space="preserve">### Vertically-integrated</w:t>
      </w:r>
    </w:p>
    <w:p>
      <w:pPr>
        <w:pStyle w:val="BodyText"/>
      </w:pPr>
      <w:r>
        <w:t xml:space="preserve">Historically, this configuration enabled economies of scale in both</w:t>
      </w:r>
      <w:r>
        <w:t xml:space="preserve"> </w:t>
      </w:r>
      <w:r>
        <w:t xml:space="preserve">asset investment and operation to be achieved by electric utilities,</w:t>
      </w:r>
      <w:r>
        <w:t xml:space="preserve"> </w:t>
      </w:r>
      <w:r>
        <w:t xml:space="preserve">particularly regulated monopolies that owned and operated most, if not</w:t>
      </w:r>
      <w:r>
        <w:t xml:space="preserve"> </w:t>
      </w:r>
      <w:r>
        <w:t xml:space="preserve">all, of the generation, transmission and distribution infrastructure</w:t>
      </w:r>
      <w:r>
        <w:t xml:space="preserve"> </w:t>
      </w:r>
      <w:r>
        <w:t xml:space="preserve">within a power system and were responsible for the retail of electricity</w:t>
      </w:r>
      <w:r>
        <w:t xml:space="preserve"> </w:t>
      </w:r>
      <w:r>
        <w:t xml:space="preserve">to the end-user (these regulated monopolies are known as</w:t>
      </w:r>
      <w:r>
        <w:t xml:space="preserve"> </w:t>
      </w:r>
      <w:r>
        <w:t xml:space="preserve">vertically-integrated utilities)</w:t>
      </w:r>
      <w:r>
        <w:t xml:space="preserve"> </w:t>
      </w:r>
      <w:r>
        <w:t xml:space="preserve">(</w:t>
      </w:r>
      <w:hyperlink w:anchor="ref-Masters2004">
        <w:r>
          <w:rPr>
            <w:rStyle w:val="Hyperlink"/>
            <w:bCs/>
            <w:b/>
          </w:rPr>
          <w:t xml:space="preserve">Masters2004?</w:t>
        </w:r>
      </w:hyperlink>
      <w:r>
        <w:t xml:space="preserve">)</w:t>
      </w:r>
      <w:r>
        <w:t xml:space="preserve">.</w:t>
      </w:r>
      <w:r>
        <w:t xml:space="preserve"> </w:t>
      </w:r>
      <w:r>
        <w:t xml:space="preserve">### Restructuring and the emergence of wholesale electricity markets</w:t>
      </w:r>
    </w:p>
    <w:p>
      <w:pPr>
        <w:pStyle w:val="BodyText"/>
      </w:pPr>
      <w:r>
        <w:t xml:space="preserve">In mandatory pool markets, the system operator commits and dispatches</w:t>
      </w:r>
      <w:r>
        <w:t xml:space="preserve"> </w:t>
      </w:r>
      <w:r>
        <w:t xml:space="preserve">individual generators (and, in some cases, loads) in the day-ahead and</w:t>
      </w:r>
      <w:r>
        <w:t xml:space="preserve"> </w:t>
      </w:r>
      <w:r>
        <w:t xml:space="preserve">real-time markets, respectively, based on economic optimisation</w:t>
      </w:r>
      <w:r>
        <w:t xml:space="preserve"> </w:t>
      </w:r>
      <w:r>
        <w:t xml:space="preserve">processes that incorporate transmission constraints and stability and</w:t>
      </w:r>
      <w:r>
        <w:t xml:space="preserve"> </w:t>
      </w:r>
      <w:r>
        <w:t xml:space="preserve">reliability requirements. These processes are</w:t>
      </w:r>
      <w:r>
        <w:t xml:space="preserve"> </w:t>
      </w:r>
      <w:r>
        <w:rPr>
          <w:iCs/>
          <w:i/>
        </w:rPr>
        <w:t xml:space="preserve">security-constrained unit</w:t>
      </w:r>
      <w:r>
        <w:rPr>
          <w:iCs/>
          <w:i/>
        </w:rPr>
        <w:t xml:space="preserve"> </w:t>
      </w:r>
      <w:r>
        <w:rPr>
          <w:iCs/>
          <w:i/>
        </w:rPr>
        <w:t xml:space="preserve">commitment</w:t>
      </w:r>
      <w:r>
        <w:t xml:space="preserve"> </w:t>
      </w:r>
      <w:r>
        <w:t xml:space="preserve">(SCUC), which is executed in the day-ahead market, and</w:t>
      </w:r>
      <w:r>
        <w:t xml:space="preserve"> </w:t>
      </w:r>
      <w:r>
        <w:rPr>
          <w:iCs/>
          <w:i/>
        </w:rPr>
        <w:t xml:space="preserve">security-constrained economic dispatch</w:t>
      </w:r>
      <w:r>
        <w:t xml:space="preserve"> </w:t>
      </w:r>
      <w:r>
        <w:t xml:space="preserve">(SCED), which is executed just</w:t>
      </w:r>
      <w:r>
        <w:t xml:space="preserve"> </w:t>
      </w:r>
      <w:r>
        <w:t xml:space="preserve">prior to the relevant real-time market interval. In many mandatory pool</w:t>
      </w:r>
      <w:r>
        <w:t xml:space="preserve"> </w:t>
      </w:r>
      <w:r>
        <w:t xml:space="preserve">markets, SCED and SCUC co-optimise the provision of energy and frequency</w:t>
      </w:r>
      <w:r>
        <w:t xml:space="preserve"> </w:t>
      </w:r>
      <w:r>
        <w:t xml:space="preserve">control services</w:t>
      </w:r>
    </w:p>
    <w:p>
      <w:pPr>
        <w:pStyle w:val="BodyText"/>
      </w:pPr>
      <w:r>
        <w:t xml:space="preserve">It should be noted that these processes are not exclusive to mandatory</w:t>
      </w:r>
      <w:r>
        <w:t xml:space="preserve"> </w:t>
      </w:r>
      <w:r>
        <w:t xml:space="preserve">pool markets and could be used by vertically-integrated utilities to</w:t>
      </w:r>
      <w:r>
        <w:t xml:space="preserve"> </w:t>
      </w:r>
      <w:r>
        <w:t xml:space="preserve">efficiently schedule resources in the power system</w:t>
      </w:r>
      <w:r>
        <w:t xml:space="preserve"> </w:t>
      </w:r>
      <w:r>
        <w:t xml:space="preserve">(</w:t>
      </w:r>
      <w:hyperlink w:anchor="ref-Grainger1994">
        <w:r>
          <w:rPr>
            <w:rStyle w:val="Hyperlink"/>
            <w:bCs/>
            <w:b/>
          </w:rPr>
          <w:t xml:space="preserve">Grainger1994?</w:t>
        </w:r>
      </w:hyperlink>
      <w:r>
        <w:t xml:space="preserve">)</w:t>
      </w:r>
      <w:r>
        <w:t xml:space="preserve">.</w:t>
      </w:r>
    </w:p>
    <w:bookmarkEnd w:id="45"/>
    <w:bookmarkStart w:id="46" w:name="electricity-industry-restructuring"/>
    <w:p>
      <w:pPr>
        <w:pStyle w:val="Heading4"/>
      </w:pPr>
      <w:r>
        <w:rPr>
          <w:rStyle w:val="SectionNumber"/>
        </w:rPr>
        <w:t xml:space="preserve">4.4.3.3</w:t>
      </w:r>
      <w:r>
        <w:tab/>
      </w:r>
      <w:r>
        <w:t xml:space="preserve">Electricity industry restructuring</w:t>
      </w:r>
    </w:p>
    <w:p>
      <w:pPr>
        <w:pStyle w:val="FirstParagraph"/>
      </w:pPr>
      <w:r>
        <w:t xml:space="preserve">Beginning in the early 1990s, perceived inefficiencies and overspend by</w:t>
      </w:r>
      <w:r>
        <w:t xml:space="preserve"> </w:t>
      </w:r>
      <w:r>
        <w:t xml:space="preserve">monopoly electric utilities, advancements in small low-upfront cost gas</w:t>
      </w:r>
      <w:r>
        <w:t xml:space="preserve"> </w:t>
      </w:r>
      <w:r>
        <w:t xml:space="preserve">turbine technologies and the successful liberalisation of other</w:t>
      </w:r>
      <w:r>
        <w:t xml:space="preserve"> </w:t>
      </w:r>
      <w:r>
        <w:t xml:space="preserve">industries such as airlines and telecommunications prompted many</w:t>
      </w:r>
      <w:r>
        <w:t xml:space="preserve"> </w:t>
      </w:r>
      <w:r>
        <w:t xml:space="preserve">countries to restructure their electricity industries</w:t>
      </w:r>
      <w:r>
        <w:t xml:space="preserve"> </w:t>
      </w:r>
      <w:r>
        <w:t xml:space="preserve">(</w:t>
      </w:r>
      <w:hyperlink w:anchor="ref-Weigt2009">
        <w:r>
          <w:rPr>
            <w:rStyle w:val="Hyperlink"/>
            <w:bCs/>
            <w:b/>
          </w:rPr>
          <w:t xml:space="preserve">Weigt2009?</w:t>
        </w:r>
      </w:hyperlink>
      <w:r>
        <w:t xml:space="preserve">;</w:t>
      </w:r>
      <w:r>
        <w:t xml:space="preserve"> </w:t>
      </w:r>
      <w:hyperlink w:anchor="ref-Miller2017">
        <w:r>
          <w:rPr>
            <w:rStyle w:val="Hyperlink"/>
            <w:bCs/>
            <w:b/>
          </w:rPr>
          <w:t xml:space="preserve">Miller2017?</w:t>
        </w:r>
      </w:hyperlink>
      <w:r>
        <w:t xml:space="preserve">)</w:t>
      </w:r>
      <w:r>
        <w:t xml:space="preserve">. A common feature of this process across power</w:t>
      </w:r>
      <w:r>
        <w:t xml:space="preserve"> </w:t>
      </w:r>
      <w:r>
        <w:t xml:space="preserve">systems was the implementation of a wholesale market for electricity,</w:t>
      </w:r>
      <w:r>
        <w:t xml:space="preserve"> </w:t>
      </w:r>
      <w:r>
        <w:t xml:space="preserve">where generators compete for the opportunity to supply electricity and</w:t>
      </w:r>
      <w:r>
        <w:t xml:space="preserve"> </w:t>
      </w:r>
      <w:r>
        <w:t xml:space="preserve">earn revenue through an auction-based mechanism</w:t>
      </w:r>
      <w:r>
        <w:t xml:space="preserve"> </w:t>
      </w:r>
      <w:r>
        <w:t xml:space="preserve">(</w:t>
      </w:r>
      <w:hyperlink w:anchor="ref-Milligan2017">
        <w:r>
          <w:rPr>
            <w:rStyle w:val="Hyperlink"/>
            <w:bCs/>
            <w:b/>
          </w:rPr>
          <w:t xml:space="preserve">Milligan2017?</w:t>
        </w:r>
      </w:hyperlink>
      <w:r>
        <w:t xml:space="preserve">)</w:t>
      </w:r>
      <w:r>
        <w:t xml:space="preserve">.</w:t>
      </w:r>
    </w:p>
    <w:bookmarkEnd w:id="46"/>
    <w:bookmarkStart w:id="51" w:name="X942e54760044f83724f4314b196e0c4b67514bd"/>
    <w:p>
      <w:pPr>
        <w:pStyle w:val="Heading4"/>
      </w:pPr>
      <w:r>
        <w:rPr>
          <w:rStyle w:val="SectionNumber"/>
        </w:rPr>
        <w:t xml:space="preserve">4.4.3.4</w:t>
      </w:r>
      <w:r>
        <w:tab/>
      </w:r>
      <w:r>
        <w:t xml:space="preserve">Electricity market structures and features</w:t>
      </w:r>
    </w:p>
    <w:bookmarkStart w:id="47" w:name="system-operator"/>
    <w:p>
      <w:pPr>
        <w:pStyle w:val="Heading5"/>
      </w:pPr>
      <w:r>
        <w:rPr>
          <w:rStyle w:val="SectionNumber"/>
        </w:rPr>
        <w:t xml:space="preserve">4.4.3.4.1</w:t>
      </w:r>
      <w:r>
        <w:tab/>
      </w:r>
      <w:r>
        <w:t xml:space="preserve">System operator</w:t>
      </w:r>
    </w:p>
    <w:p>
      <w:pPr>
        <w:pStyle w:val="FirstParagraph"/>
      </w:pPr>
      <w:r>
        <w:t xml:space="preserve">In restructured electricity industries, the implementation of wholesale</w:t>
      </w:r>
      <w:r>
        <w:t xml:space="preserve"> </w:t>
      </w:r>
      <w:r>
        <w:t xml:space="preserve">markets was accompanied by the creation of an independent power system</w:t>
      </w:r>
      <w:r>
        <w:t xml:space="preserve"> </w:t>
      </w:r>
      <w:r>
        <w:t xml:space="preserve">operator to operate the transmission network, manage and administer the</w:t>
      </w:r>
      <w:r>
        <w:t xml:space="preserve"> </w:t>
      </w:r>
      <w:r>
        <w:t xml:space="preserve">electricity market, maintain short-term power system</w:t>
      </w:r>
      <w:r>
        <w:t xml:space="preserve"> </w:t>
      </w:r>
      <w:r>
        <w:rPr>
          <w:iCs/>
          <w:i/>
        </w:rPr>
        <w:t xml:space="preserve">reliability</w:t>
      </w:r>
      <w:r>
        <w:t xml:space="preserve"> </w:t>
      </w:r>
      <w:r>
        <w:t xml:space="preserve">(the</w:t>
      </w:r>
      <w:r>
        <w:t xml:space="preserve"> </w:t>
      </w:r>
      <w:r>
        <w:t xml:space="preserve">ability to meet demand with supply) and</w:t>
      </w:r>
      <w:r>
        <w:t xml:space="preserve"> </w:t>
      </w:r>
      <w:r>
        <w:rPr>
          <w:iCs/>
          <w:i/>
        </w:rPr>
        <w:t xml:space="preserve">security</w:t>
      </w:r>
      <w:r>
        <w:t xml:space="preserve"> </w:t>
      </w:r>
      <w:r>
        <w:t xml:space="preserve">(the ability to</w:t>
      </w:r>
      <w:r>
        <w:t xml:space="preserve"> </w:t>
      </w:r>
      <w:r>
        <w:t xml:space="preserve">operate the power system within a defined operating envelope), and carry</w:t>
      </w:r>
      <w:r>
        <w:t xml:space="preserve"> </w:t>
      </w:r>
      <w:r>
        <w:t xml:space="preserve">out longer term planning functions</w:t>
      </w:r>
      <w:r>
        <w:t xml:space="preserve"> </w:t>
      </w:r>
      <w:r>
        <w:t xml:space="preserve">(</w:t>
      </w:r>
      <w:hyperlink w:anchor="ref-Sioshansi2006">
        <w:r>
          <w:rPr>
            <w:rStyle w:val="Hyperlink"/>
            <w:bCs/>
            <w:b/>
          </w:rPr>
          <w:t xml:space="preserve">Sioshansi2006?</w:t>
        </w:r>
      </w:hyperlink>
      <w:r>
        <w:t xml:space="preserve">;</w:t>
      </w:r>
      <w:r>
        <w:t xml:space="preserve"> </w:t>
      </w:r>
      <w:hyperlink w:anchor="ref-Hogan2008">
        <w:r>
          <w:rPr>
            <w:rStyle w:val="Hyperlink"/>
            <w:bCs/>
            <w:b/>
          </w:rPr>
          <w:t xml:space="preserve">Hogan2008?</w:t>
        </w:r>
      </w:hyperlink>
      <w:r>
        <w:t xml:space="preserve">)</w:t>
      </w:r>
      <w:r>
        <w:t xml:space="preserve">. These</w:t>
      </w:r>
      <w:r>
        <w:t xml:space="preserve"> </w:t>
      </w:r>
      <w:r>
        <w:t xml:space="preserve">entities may own transmission infrastructure as a regulated monopoly, as</w:t>
      </w:r>
      <w:r>
        <w:t xml:space="preserve"> </w:t>
      </w:r>
      <w:r>
        <w:t xml:space="preserve">is the case with the various Transmission System Operators (TSOs) in</w:t>
      </w:r>
      <w:r>
        <w:t xml:space="preserve"> </w:t>
      </w:r>
      <w:r>
        <w:t xml:space="preserve">Europe, or be independent of any infrastructure ownership, such as the</w:t>
      </w:r>
      <w:r>
        <w:t xml:space="preserve"> </w:t>
      </w:r>
      <w:r>
        <w:t xml:space="preserve">Independent System Operators (ISOs) and Regional Transmission Operators</w:t>
      </w:r>
      <w:r>
        <w:t xml:space="preserve"> </w:t>
      </w:r>
      <w:r>
        <w:t xml:space="preserve">(RTOs) in North America and the Australian Energy Market Operator</w:t>
      </w:r>
      <w:r>
        <w:t xml:space="preserve"> </w:t>
      </w:r>
      <w:r>
        <w:t xml:space="preserve">(AEMO).</w:t>
      </w:r>
    </w:p>
    <w:bookmarkEnd w:id="47"/>
    <w:bookmarkStart w:id="49" w:name="market-models"/>
    <w:p>
      <w:pPr>
        <w:pStyle w:val="Heading5"/>
      </w:pPr>
      <w:r>
        <w:rPr>
          <w:rStyle w:val="SectionNumber"/>
        </w:rPr>
        <w:t xml:space="preserve">4.4.3.4.2</w:t>
      </w:r>
      <w:r>
        <w:tab/>
      </w:r>
      <w:r>
        <w:t xml:space="preserve">Market models</w:t>
      </w:r>
    </w:p>
    <w:p>
      <w:pPr>
        <w:pStyle w:val="FirstParagraph"/>
      </w:pPr>
      <w:r>
        <w:t xml:space="preserve">The restructuring process proceeded differently across jurisdictions,</w:t>
      </w:r>
      <w:r>
        <w:t xml:space="preserve"> </w:t>
      </w:r>
      <w:r>
        <w:t xml:space="preserve">resulting in the implementation of different wholesale market</w:t>
      </w:r>
      <w:r>
        <w:t xml:space="preserve"> </w:t>
      </w:r>
      <w:r>
        <w:t xml:space="preserve">mechanisms. However, at a higher level, electricity markets worldwide</w:t>
      </w:r>
      <w:r>
        <w:t xml:space="preserve"> </w:t>
      </w:r>
      <w:r>
        <w:t xml:space="preserve">have generally converged towards two main market models which are</w:t>
      </w:r>
      <w:r>
        <w:t xml:space="preserve"> </w:t>
      </w:r>
      <w:r>
        <w:t xml:space="preserve">distinguished by the degree of centralisation of market operations and</w:t>
      </w:r>
      <w:r>
        <w:t xml:space="preserve"> </w:t>
      </w:r>
      <w:r>
        <w:t xml:space="preserve">the role of the system operator</w:t>
      </w:r>
      <w:r>
        <w:t xml:space="preserve"> </w:t>
      </w:r>
      <w:r>
        <w:t xml:space="preserve">(</w:t>
      </w:r>
      <w:hyperlink w:anchor="fig:market_models">
        <w:r>
          <w:rPr>
            <w:rStyle w:val="Hyperlink"/>
          </w:rPr>
          <w:t xml:space="preserve">2</w:t>
        </w:r>
      </w:hyperlink>
      <w:r>
        <w:t xml:space="preserve">):</w:t>
      </w:r>
    </w:p>
    <w:p>
      <w:pPr>
        <w:numPr>
          <w:ilvl w:val="0"/>
          <w:numId w:val="1003"/>
        </w:numPr>
      </w:pPr>
      <w:r>
        <w:t xml:space="preserve">Decentralised</w:t>
      </w:r>
      <w:r>
        <w:t xml:space="preserve"> </w:t>
      </w:r>
      <w:r>
        <w:rPr>
          <w:iCs/>
          <w:i/>
        </w:rPr>
        <w:t xml:space="preserve">bilateral markets</w:t>
      </w:r>
      <w:r>
        <w:t xml:space="preserve">, in which suppliers enter into</w:t>
      </w:r>
      <w:r>
        <w:t xml:space="preserve"> </w:t>
      </w:r>
      <w:r>
        <w:t xml:space="preserve">contracts with buyers either directly or through intermediaries</w:t>
      </w:r>
      <w:r>
        <w:t xml:space="preserve"> </w:t>
      </w:r>
      <w:r>
        <w:t xml:space="preserve">(</w:t>
      </w:r>
      <w:hyperlink w:anchor="ref-Barroso2005">
        <w:r>
          <w:rPr>
            <w:rStyle w:val="Hyperlink"/>
            <w:bCs/>
            <w:b/>
          </w:rPr>
          <w:t xml:space="preserve">Barroso2005?</w:t>
        </w:r>
      </w:hyperlink>
      <w:r>
        <w:t xml:space="preserve">)</w:t>
      </w:r>
      <w:r>
        <w:t xml:space="preserve">. Whilst scheduling and dispatch is managed by market</w:t>
      </w:r>
      <w:r>
        <w:t xml:space="preserve"> </w:t>
      </w:r>
      <w:r>
        <w:t xml:space="preserve">participants, intended energy schedules (i.e. net contract</w:t>
      </w:r>
      <w:r>
        <w:t xml:space="preserve"> </w:t>
      </w:r>
      <w:r>
        <w:t xml:space="preserve">positions) are submitted by market participants ahead of time to the</w:t>
      </w:r>
      <w:r>
        <w:t xml:space="preserve"> </w:t>
      </w:r>
      <w:r>
        <w:t xml:space="preserve">system operator, who is responsible for determining the requirement</w:t>
      </w:r>
      <w:r>
        <w:t xml:space="preserve"> </w:t>
      </w:r>
      <w:r>
        <w:t xml:space="preserve">for and procuring frequency control services (known as balancing</w:t>
      </w:r>
      <w:r>
        <w:t xml:space="preserve"> </w:t>
      </w:r>
      <w:r>
        <w:t xml:space="preserve">services in bilateral markets)</w:t>
      </w:r>
      <w:r>
        <w:t xml:space="preserve"> </w:t>
      </w:r>
      <w:r>
        <w:t xml:space="preserve">(</w:t>
      </w:r>
      <w:hyperlink w:anchor="ref-Hirth2015">
        <w:r>
          <w:rPr>
            <w:rStyle w:val="Hyperlink"/>
            <w:bCs/>
            <w:b/>
          </w:rPr>
          <w:t xml:space="preserve">Hirth2015?</w:t>
        </w:r>
      </w:hyperlink>
      <w:r>
        <w:t xml:space="preserve">)</w:t>
      </w:r>
      <w:r>
        <w:t xml:space="preserve">. This model is the</w:t>
      </w:r>
      <w:r>
        <w:t xml:space="preserve"> </w:t>
      </w:r>
      <w:r>
        <w:t xml:space="preserve">dominant market model in Europe.</w:t>
      </w:r>
    </w:p>
    <w:p>
      <w:pPr>
        <w:numPr>
          <w:ilvl w:val="0"/>
          <w:numId w:val="1003"/>
        </w:numPr>
      </w:pPr>
      <w:r>
        <w:t xml:space="preserve">Centralised</w:t>
      </w:r>
      <w:r>
        <w:t xml:space="preserve"> </w:t>
      </w:r>
      <w:r>
        <w:rPr>
          <w:iCs/>
          <w:i/>
        </w:rPr>
        <w:t xml:space="preserve">mandatory power pool markets</w:t>
      </w:r>
      <w:r>
        <w:t xml:space="preserve">, in which offers to</w:t>
      </w:r>
      <w:r>
        <w:t xml:space="preserve"> </w:t>
      </w:r>
      <w:r>
        <w:t xml:space="preserve">generate are aggregated into a single supply curve and are cleared</w:t>
      </w:r>
      <w:r>
        <w:t xml:space="preserve"> </w:t>
      </w:r>
      <w:r>
        <w:t xml:space="preserve">against a demand forecast (one-sided pool) or against an aggregated</w:t>
      </w:r>
      <w:r>
        <w:t xml:space="preserve"> </w:t>
      </w:r>
      <w:r>
        <w:t xml:space="preserve">demand curve constructed from potential buyers (two-sided pool) by</w:t>
      </w:r>
      <w:r>
        <w:t xml:space="preserve"> </w:t>
      </w:r>
      <w:r>
        <w:t xml:space="preserve">the system operator</w:t>
      </w:r>
      <w:r>
        <w:t xml:space="preserve"> </w:t>
      </w:r>
      <w:r>
        <w:t xml:space="preserve">(</w:t>
      </w:r>
      <w:hyperlink w:anchor="ref-Barroso2005">
        <w:r>
          <w:rPr>
            <w:rStyle w:val="Hyperlink"/>
            <w:bCs/>
            <w:b/>
          </w:rPr>
          <w:t xml:space="preserve">Barroso2005?</w:t>
        </w:r>
      </w:hyperlink>
      <w:r>
        <w:t xml:space="preserve">)</w:t>
      </w:r>
      <w:r>
        <w:t xml:space="preserve">. In these markets, locational</w:t>
      </w:r>
      <w:r>
        <w:t xml:space="preserve"> </w:t>
      </w:r>
      <w:r>
        <w:t xml:space="preserve">marginal prices for energy and frequency control services are</w:t>
      </w:r>
      <w:r>
        <w:t xml:space="preserve"> </w:t>
      </w:r>
      <w:r>
        <w:t xml:space="preserve">produced by centralised optimisation processes run by the system</w:t>
      </w:r>
      <w:r>
        <w:t xml:space="preserve"> </w:t>
      </w:r>
      <w:r>
        <w:t xml:space="preserve">operator that consider the physical constraints of the transmission</w:t>
      </w:r>
      <w:r>
        <w:t xml:space="preserve"> </w:t>
      </w:r>
      <w:r>
        <w:t xml:space="preserve">system</w:t>
      </w:r>
      <w:r>
        <w:t xml:space="preserve"> </w:t>
      </w:r>
      <w:r>
        <w:t xml:space="preserve">(</w:t>
      </w:r>
      <w:hyperlink w:anchor="ref-Cramton2017">
        <w:r>
          <w:rPr>
            <w:rStyle w:val="Hyperlink"/>
            <w:bCs/>
            <w:b/>
          </w:rPr>
          <w:t xml:space="preserve">Cramton2017?</w:t>
        </w:r>
      </w:hyperlink>
      <w:r>
        <w:t xml:space="preserve">)</w:t>
      </w:r>
      <w:r>
        <w:t xml:space="preserve">. The Australian National Electricity Market</w:t>
      </w:r>
      <w:r>
        <w:t xml:space="preserve"> </w:t>
      </w:r>
      <w:r>
        <w:t xml:space="preserve">(NEM) and the ISO/RTO markets in North America have adopted this</w:t>
      </w:r>
      <w:r>
        <w:t xml:space="preserve"> </w:t>
      </w:r>
      <w:r>
        <w:t xml:space="preserve">type of market model.</w:t>
      </w:r>
    </w:p>
    <w:p>
      <w:pPr>
        <w:pStyle w:val="FirstParagraph"/>
      </w:pPr>
      <w:r>
        <w:t xml:space="preserve">The difference between these mechanisms is whether real-time generation</w:t>
      </w:r>
      <w:r>
        <w:t xml:space="preserve"> </w:t>
      </w:r>
      <w:r>
        <w:t xml:space="preserve">instructions (</w:t>
      </w:r>
      <w:r>
        <w:rPr>
          <w:iCs/>
          <w:i/>
        </w:rPr>
        <w:t xml:space="preserve">dispatch</w:t>
      </w:r>
      <w:r>
        <w:t xml:space="preserve">) or scheduling decisions (an outcome of</w:t>
      </w:r>
      <w:r>
        <w:t xml:space="preserve"> </w:t>
      </w:r>
      <w:r>
        <w:rPr>
          <w:iCs/>
          <w:i/>
        </w:rPr>
        <w:t xml:space="preserve">unit</w:t>
      </w:r>
      <w:r>
        <w:rPr>
          <w:iCs/>
          <w:i/>
        </w:rPr>
        <w:t xml:space="preserve"> </w:t>
      </w:r>
      <w:r>
        <w:rPr>
          <w:iCs/>
          <w:i/>
        </w:rPr>
        <w:t xml:space="preserve">commitment</w:t>
      </w:r>
      <w:r>
        <w:t xml:space="preserve"> </w:t>
      </w:r>
      <w:r>
        <w:t xml:space="preserve">processes) are determined centrally by the system operator</w:t>
      </w:r>
      <w:r>
        <w:t xml:space="preserve"> </w:t>
      </w:r>
      <w:r>
        <w:t xml:space="preserve">or are decentralised, with decisions made by market participants. It is</w:t>
      </w:r>
      <w:r>
        <w:t xml:space="preserve"> </w:t>
      </w:r>
      <w:r>
        <w:t xml:space="preserve">important to note, however, that the adoption of one model does not</w:t>
      </w:r>
      <w:r>
        <w:t xml:space="preserve"> </w:t>
      </w:r>
      <w:r>
        <w:t xml:space="preserve">preclude the integration of aspects of the other. Bilateral contracts</w:t>
      </w:r>
      <w:r>
        <w:t xml:space="preserve"> </w:t>
      </w:r>
      <w:r>
        <w:t xml:space="preserve">(in the form of derivatives) are often used as hedging instruments in</w:t>
      </w:r>
      <w:r>
        <w:t xml:space="preserve"> </w:t>
      </w:r>
      <w:r>
        <w:t xml:space="preserve">mandatory pool markets and several bilateral markets, such as those in</w:t>
      </w:r>
      <w:r>
        <w:t xml:space="preserve"> </w:t>
      </w:r>
      <w:r>
        <w:t xml:space="preserve">Europe, have associated voluntary power exchanges that are essentially</w:t>
      </w:r>
      <w:r>
        <w:t xml:space="preserve"> </w:t>
      </w:r>
      <w:r>
        <w:t xml:space="preserve">power pools</w:t>
      </w:r>
      <w:r>
        <w:t xml:space="preserve"> </w:t>
      </w:r>
      <w:r>
        <w:t xml:space="preserve">(</w:t>
      </w:r>
      <w:hyperlink w:anchor="ref-Barroso2005">
        <w:r>
          <w:rPr>
            <w:rStyle w:val="Hyperlink"/>
            <w:bCs/>
            <w:b/>
          </w:rPr>
          <w:t xml:space="preserve">Barroso2005?</w:t>
        </w:r>
      </w:hyperlink>
      <w:r>
        <w:t xml:space="preserve">)</w:t>
      </w:r>
      <w:r>
        <w:t xml:space="preserve">.</w:t>
      </w:r>
    </w:p>
    <w:p>
      <w:pPr>
        <w:pStyle w:val="BodyText"/>
      </w:pPr>
    </w:p>
    <w:p>
      <w:pPr>
        <w:pStyle w:val="BodyText"/>
      </w:pPr>
      <w:r>
        <w:t xml:space="preserve">.</w:t>
      </w:r>
      <w:r>
        <w:t xml:space="preserve"> </w:t>
      </w:r>
      <w:bookmarkStart w:id="48" w:name="fig:market_models"/>
      <w:bookmarkEnd w:id="48"/>
    </w:p>
    <w:p>
      <w:pPr>
        <w:pStyle w:val="BodyText"/>
      </w:pPr>
      <w:r>
        <w:t xml:space="preserve">Mandatory power pool and physical bilateral market models.</w:t>
      </w:r>
      <w:r>
        <w:t xml:space="preserve"> </w:t>
      </w:r>
      <w:r>
        <w:t xml:space="preserve">Reproduced from</w:t>
      </w:r>
      <w:r>
        <w:t xml:space="preserve"> </w:t>
      </w:r>
    </w:p>
    <w:bookmarkEnd w:id="49"/>
    <w:bookmarkStart w:id="50" w:name="market-platforms"/>
    <w:p>
      <w:pPr>
        <w:pStyle w:val="Heading5"/>
      </w:pPr>
      <w:r>
        <w:rPr>
          <w:rStyle w:val="SectionNumber"/>
        </w:rPr>
        <w:t xml:space="preserve">4.4.3.4.3</w:t>
      </w:r>
      <w:r>
        <w:tab/>
      </w:r>
      <w:r>
        <w:t xml:space="preserve">Market platforms</w:t>
      </w:r>
    </w:p>
    <w:p>
      <w:pPr>
        <w:pStyle w:val="FirstParagraph"/>
      </w:pPr>
      <w:r>
        <w:t xml:space="preserve">Whilst other commodity markets are settled continuously or sequentially,</w:t>
      </w:r>
      <w:r>
        <w:t xml:space="preserve"> </w:t>
      </w:r>
      <w:r>
        <w:t xml:space="preserve">reliability and security considerations and concerns have led to</w:t>
      </w:r>
      <w:r>
        <w:t xml:space="preserve"> </w:t>
      </w:r>
      <w:r>
        <w:t xml:space="preserve">electricity markets being divided into discrete</w:t>
      </w:r>
      <w:r>
        <w:t xml:space="preserve"> </w:t>
      </w:r>
      <w:r>
        <w:rPr>
          <w:iCs/>
          <w:i/>
        </w:rPr>
        <w:t xml:space="preserve">platforms</w:t>
      </w:r>
      <w:r>
        <w:t xml:space="preserve"> </w:t>
      </w:r>
      <w:r>
        <w:t xml:space="preserve">(</w:t>
      </w:r>
      <w:hyperlink w:anchor="ref-Isemonger2006">
        <w:r>
          <w:rPr>
            <w:rStyle w:val="Hyperlink"/>
            <w:bCs/>
            <w:b/>
          </w:rPr>
          <w:t xml:space="preserve">Isemonger2006?</w:t>
        </w:r>
      </w:hyperlink>
      <w:r>
        <w:t xml:space="preserve">)</w:t>
      </w:r>
      <w:r>
        <w:t xml:space="preserve">. Platforms are formal sub-markets for energy that are</w:t>
      </w:r>
      <w:r>
        <w:t xml:space="preserve"> </w:t>
      </w:r>
      <w:r>
        <w:t xml:space="preserve">settled at different times. A platform implemented by all electricity</w:t>
      </w:r>
      <w:r>
        <w:t xml:space="preserve"> </w:t>
      </w:r>
      <w:r>
        <w:t xml:space="preserve">markets is a real-time, or spot, market. Where implemented, additional</w:t>
      </w:r>
      <w:r>
        <w:t xml:space="preserve"> </w:t>
      </w:r>
      <w:r>
        <w:t xml:space="preserve">platforms involve trade for one or more real-time market intervals but</w:t>
      </w:r>
      <w:r>
        <w:t xml:space="preserve"> </w:t>
      </w:r>
      <w:r>
        <w:t xml:space="preserve">are each settled at different times ahead of the spot market. These</w:t>
      </w:r>
      <w:r>
        <w:t xml:space="preserve"> </w:t>
      </w:r>
      <w:r>
        <w:t xml:space="preserve">additional platforms can reduce uncertainty for the system operator and</w:t>
      </w:r>
      <w:r>
        <w:t xml:space="preserve"> </w:t>
      </w:r>
      <w:r>
        <w:t xml:space="preserve">provide market participants with a formal market mechanism for managing</w:t>
      </w:r>
      <w:r>
        <w:t xml:space="preserve"> </w:t>
      </w:r>
      <w:r>
        <w:t xml:space="preserve">risk</w:t>
      </w:r>
      <w:r>
        <w:t xml:space="preserve"> </w:t>
      </w:r>
      <w:r>
        <w:t xml:space="preserve">(</w:t>
      </w:r>
      <w:hyperlink w:anchor="ref-Isemonger2006">
        <w:r>
          <w:rPr>
            <w:rStyle w:val="Hyperlink"/>
            <w:bCs/>
            <w:b/>
          </w:rPr>
          <w:t xml:space="preserve">Isemonger2006?</w:t>
        </w:r>
      </w:hyperlink>
      <w:r>
        <w:t xml:space="preserve">;</w:t>
      </w:r>
      <w:r>
        <w:t xml:space="preserve"> </w:t>
      </w:r>
      <w:hyperlink w:anchor="ref-EnergySecurityBoard2020c">
        <w:r>
          <w:rPr>
            <w:rStyle w:val="Hyperlink"/>
            <w:bCs/>
            <w:b/>
          </w:rPr>
          <w:t xml:space="preserve">EnergySecurityBoard2020c?</w:t>
        </w:r>
      </w:hyperlink>
      <w:r>
        <w:t xml:space="preserve">)</w:t>
      </w:r>
      <w:r>
        <w:t xml:space="preserve">.</w:t>
      </w:r>
    </w:p>
    <w:p>
      <w:pPr>
        <w:pStyle w:val="BodyText"/>
      </w:pPr>
      <w:r>
        <w:t xml:space="preserve">The number and type of platforms a particular market implements is often</w:t>
      </w:r>
      <w:r>
        <w:t xml:space="preserve"> </w:t>
      </w:r>
      <w:r>
        <w:t xml:space="preserve">related to its market model. European bilateral markets often have a</w:t>
      </w:r>
      <w:r>
        <w:t xml:space="preserve"> </w:t>
      </w:r>
      <w:r>
        <w:t xml:space="preserve">real-time market, a day-ahead market and intra-day markets, where</w:t>
      </w:r>
      <w:r>
        <w:t xml:space="preserve"> </w:t>
      </w:r>
      <w:r>
        <w:t xml:space="preserve">day-ahead commitments may be traded continuously between market</w:t>
      </w:r>
      <w:r>
        <w:t xml:space="preserve"> </w:t>
      </w:r>
      <w:r>
        <w:t xml:space="preserve">participants</w:t>
      </w:r>
      <w:r>
        <w:t xml:space="preserve"> </w:t>
      </w:r>
      <w:r>
        <w:t xml:space="preserve">(</w:t>
      </w:r>
      <w:hyperlink w:anchor="ref-Ahlqvist2018Central-Markets">
        <w:r>
          <w:rPr>
            <w:rStyle w:val="Hyperlink"/>
            <w:bCs/>
            <w:b/>
          </w:rPr>
          <w:t xml:space="preserve">Ahlqvist2018Central-Markets?</w:t>
        </w:r>
      </w:hyperlink>
      <w:r>
        <w:t xml:space="preserve">)</w:t>
      </w:r>
      <w:r>
        <w:t xml:space="preserve">. In contrast, however, it is</w:t>
      </w:r>
      <w:r>
        <w:t xml:space="preserve"> </w:t>
      </w:r>
      <w:r>
        <w:t xml:space="preserve">practical to limit the number of platforms in a mandatory pool market</w:t>
      </w:r>
      <w:r>
        <w:t xml:space="preserve"> </w:t>
      </w:r>
      <w:r>
        <w:t xml:space="preserve">due to the inflexibility of commitment</w:t>
      </w:r>
      <w:r>
        <w:t xml:space="preserve"> </w:t>
      </w:r>
      <w:r>
        <w:t xml:space="preserve">‘</w:t>
      </w:r>
      <w:r>
        <w:t xml:space="preserve">contracts</w:t>
      </w:r>
      <w:r>
        <w:t xml:space="preserve">’</w:t>
      </w:r>
      <w:r>
        <w:t xml:space="preserve"> </w:t>
      </w:r>
      <w:r>
        <w:t xml:space="preserve">determined by</w:t>
      </w:r>
      <w:r>
        <w:t xml:space="preserve"> </w:t>
      </w:r>
      <w:r>
        <w:t xml:space="preserve">computationally complex optimisation processes</w:t>
      </w:r>
      <w:r>
        <w:t xml:space="preserve"> </w:t>
      </w:r>
      <w:r>
        <w:t xml:space="preserve">(</w:t>
      </w:r>
      <w:hyperlink w:anchor="ref-Isemonger2006">
        <w:r>
          <w:rPr>
            <w:rStyle w:val="Hyperlink"/>
            <w:bCs/>
            <w:b/>
          </w:rPr>
          <w:t xml:space="preserve">Isemonger2006?</w:t>
        </w:r>
      </w:hyperlink>
      <w:r>
        <w:t xml:space="preserve">;</w:t>
      </w:r>
      <w:r>
        <w:t xml:space="preserve"> </w:t>
      </w:r>
      <w:hyperlink w:anchor="ref-Ahlqvist2018Central-Markets">
        <w:r>
          <w:rPr>
            <w:rStyle w:val="Hyperlink"/>
            <w:bCs/>
            <w:b/>
          </w:rPr>
          <w:t xml:space="preserve">Ahlqvist2018Central-Markets?</w:t>
        </w:r>
      </w:hyperlink>
      <w:r>
        <w:t xml:space="preserve">)</w:t>
      </w:r>
      <w:r>
        <w:t xml:space="preserve">. North American ISO/RTO</w:t>
      </w:r>
      <w:r>
        <w:t xml:space="preserve"> </w:t>
      </w:r>
      <w:r>
        <w:t xml:space="preserve">markets have two platforms - a financially binding day-ahead market and</w:t>
      </w:r>
      <w:r>
        <w:t xml:space="preserve"> </w:t>
      </w:r>
      <w:r>
        <w:t xml:space="preserve">a physically and financially binding real-time spot market</w:t>
      </w:r>
      <w:r>
        <w:t xml:space="preserve"> </w:t>
      </w:r>
      <w:r>
        <w:t xml:space="preserve">(</w:t>
      </w:r>
      <w:hyperlink w:anchor="ref-Cramton2017">
        <w:r>
          <w:rPr>
            <w:rStyle w:val="Hyperlink"/>
            <w:bCs/>
            <w:b/>
          </w:rPr>
          <w:t xml:space="preserve">Cramton2017?</w:t>
        </w:r>
      </w:hyperlink>
      <w:r>
        <w:t xml:space="preserve">)</w:t>
      </w:r>
      <w:r>
        <w:t xml:space="preserve">. The Australian NEM is rather unique amongst mandatory</w:t>
      </w:r>
      <w:r>
        <w:t xml:space="preserve"> </w:t>
      </w:r>
      <w:r>
        <w:t xml:space="preserve">pool markets as it only has a single platform - the real-time spot</w:t>
      </w:r>
      <w:r>
        <w:t xml:space="preserve"> </w:t>
      </w:r>
      <w:r>
        <w:t xml:space="preserve">market. This arrangement means that while dispatch is centralised,</w:t>
      </w:r>
      <w:r>
        <w:t xml:space="preserve"> </w:t>
      </w:r>
      <w:r>
        <w:t xml:space="preserve">participants manage the commitment of their generation portfolio with</w:t>
      </w:r>
      <w:r>
        <w:t xml:space="preserve"> </w:t>
      </w:r>
      <w:r>
        <w:t xml:space="preserve">the assistance of pre-dispatch forecasts provided by AEMO</w:t>
      </w:r>
      <w:r>
        <w:t xml:space="preserve"> </w:t>
      </w:r>
      <w:r>
        <w:t xml:space="preserve">(</w:t>
      </w:r>
      <w:hyperlink w:anchor="ref-Riesz2016a">
        <w:r>
          <w:rPr>
            <w:rStyle w:val="Hyperlink"/>
            <w:bCs/>
            <w:b/>
          </w:rPr>
          <w:t xml:space="preserve">Riesz2016a?</w:t>
        </w:r>
      </w:hyperlink>
      <w:r>
        <w:t xml:space="preserve">)</w:t>
      </w:r>
      <w:r>
        <w:t xml:space="preserve">.</w:t>
      </w:r>
    </w:p>
    <w:bookmarkEnd w:id="50"/>
    <w:bookmarkEnd w:id="51"/>
    <w:bookmarkEnd w:id="52"/>
    <w:bookmarkEnd w:id="53"/>
    <w:bookmarkStart w:id="60" w:name="balancing-processes-and-mechanisms"/>
    <w:p>
      <w:pPr>
        <w:pStyle w:val="Heading2"/>
      </w:pPr>
      <w:r>
        <w:rPr>
          <w:rStyle w:val="SectionNumber"/>
        </w:rPr>
        <w:t xml:space="preserve">4.5</w:t>
      </w:r>
      <w:r>
        <w:tab/>
      </w:r>
      <w:r>
        <w:t xml:space="preserve">Balancing processes and mechanisms</w:t>
      </w:r>
    </w:p>
    <w:bookmarkStart w:id="58" w:name="sec:electromech"/>
    <w:p>
      <w:pPr>
        <w:pStyle w:val="Heading3"/>
      </w:pPr>
      <w:r>
        <w:rPr>
          <w:rStyle w:val="SectionNumber"/>
        </w:rPr>
        <w:t xml:space="preserve">4.5.1</w:t>
      </w:r>
      <w:r>
        <w:tab/>
      </w:r>
      <w:r>
        <w:t xml:space="preserve">Inherent inertial response</w:t>
      </w:r>
    </w:p>
    <w:p>
      <w:pPr>
        <w:pStyle w:val="FirstParagraph"/>
      </w:pPr>
      <w:r>
        <w:t xml:space="preserve">Synchronous machines convert electrical energy to mechanical energy, or</w:t>
      </w:r>
      <w:r>
        <w:t xml:space="preserve"> </w:t>
      </w:r>
      <w:r>
        <w:t xml:space="preserve">vice versa, through the interacting magnetic fields of the rotor and the</w:t>
      </w:r>
      <w:r>
        <w:t xml:space="preserve"> </w:t>
      </w:r>
      <w:r>
        <w:t xml:space="preserve">stator</w:t>
      </w:r>
      <w:r>
        <w:t xml:space="preserve"> </w:t>
      </w:r>
      <w:r>
        <w:t xml:space="preserve">(</w:t>
      </w:r>
      <w:hyperlink w:anchor="ref-Chapman2011ElectricFundamentals">
        <w:r>
          <w:rPr>
            <w:rStyle w:val="Hyperlink"/>
            <w:bCs/>
            <w:b/>
          </w:rPr>
          <w:t xml:space="preserve">Chapman2011ElectricFundamentals?</w:t>
        </w:r>
      </w:hyperlink>
      <w:r>
        <w:t xml:space="preserve">)</w:t>
      </w:r>
      <w:r>
        <w:t xml:space="preserve">. In a synchronous generator,</w:t>
      </w:r>
      <w:r>
        <w:t xml:space="preserve"> </w:t>
      </w:r>
      <w:r>
        <w:t xml:space="preserve">this interaction produces an electromagnetic torque (</w:t>
      </w:r>
      <m:oMath>
        <m:sSub>
          <m:e>
            <m:r>
              <m:t>T</m:t>
            </m:r>
          </m:e>
          <m:sub>
            <m:r>
              <m:t>e</m:t>
            </m:r>
          </m:sub>
        </m:sSub>
      </m:oMath>
      <w:r>
        <w:t xml:space="preserve">) on the rotor</w:t>
      </w:r>
      <w:r>
        <w:t xml:space="preserve"> </w:t>
      </w:r>
      <w:r>
        <w:t xml:space="preserve">that opposes the mechanical torque (</w:t>
      </w:r>
      <m:oMath>
        <m:sSub>
          <m:e>
            <m:r>
              <m:t>T</m:t>
            </m:r>
          </m:e>
          <m:sub>
            <m:r>
              <m:t>m</m:t>
            </m:r>
          </m:sub>
        </m:sSub>
      </m:oMath>
      <w:r>
        <w:t xml:space="preserve">) supplied by a prime mover</w:t>
      </w:r>
      <w:r>
        <w:t xml:space="preserve"> </w:t>
      </w:r>
      <w:r>
        <w:t xml:space="preserve">(</w:t>
      </w:r>
      <w:hyperlink w:anchor="fig:synch_torques">
        <w:r>
          <w:rPr>
            <w:rStyle w:val="Hyperlink"/>
          </w:rPr>
          <w:t xml:space="preserve">4</w:t>
        </w:r>
      </w:hyperlink>
      <w:r>
        <w:t xml:space="preserve">). From</w:t>
      </w:r>
      <w:r>
        <w:t xml:space="preserve"> </w:t>
      </w:r>
      <w:hyperlink w:anchor="eq:swing">
        <w:r>
          <w:rPr>
            <w:rStyle w:val="Hyperlink"/>
          </w:rPr>
          <w:t xml:space="preserve">[eq:swing]</w:t>
        </w:r>
      </w:hyperlink>
      <w:r>
        <w:t xml:space="preserve">,</w:t>
      </w:r>
      <w:r>
        <w:t xml:space="preserve"> </w:t>
      </w:r>
      <w:r>
        <w:t xml:space="preserve">which is known as the</w:t>
      </w:r>
      <w:r>
        <w:t xml:space="preserve"> </w:t>
      </w:r>
      <w:r>
        <w:rPr>
          <w:iCs/>
          <w:i/>
        </w:rPr>
        <w:t xml:space="preserve">swing equation</w:t>
      </w:r>
      <w:r>
        <w:t xml:space="preserve">, we can see that if a generator</w:t>
      </w:r>
      <w:r>
        <w:t xml:space="preserve"> </w:t>
      </w:r>
      <w:r>
        <w:t xml:space="preserve">is at synchronous speed (i.e. steady state) and there is a transient</w:t>
      </w:r>
      <w:r>
        <w:t xml:space="preserve"> </w:t>
      </w:r>
      <w:r>
        <w:t xml:space="preserve">increase in the electrical load of the power system (equivalent to an</w:t>
      </w:r>
      <w:r>
        <w:t xml:space="preserve"> </w:t>
      </w:r>
      <w:r>
        <w:t xml:space="preserve">increase in</w:t>
      </w:r>
      <w:r>
        <w:t xml:space="preserve"> </w:t>
      </w:r>
      <m:oMath>
        <m:sSub>
          <m:e>
            <m:r>
              <m:t>P</m:t>
            </m:r>
          </m:e>
          <m:sub>
            <m:r>
              <m:t>e</m:t>
            </m:r>
          </m:sub>
        </m:sSub>
      </m:oMath>
      <w:r>
        <w:t xml:space="preserve">), the rotor of a synchronous generator will begin to</w:t>
      </w:r>
      <w:r>
        <w:t xml:space="preserve"> </w:t>
      </w:r>
      <w:r>
        <w:t xml:space="preserve">decelerate as its stored kinetic energy is converted to electrical</w:t>
      </w:r>
      <w:r>
        <w:t xml:space="preserve"> </w:t>
      </w:r>
      <w:r>
        <w:t xml:space="preserve">energy</w:t>
      </w:r>
      <w:r>
        <w:t xml:space="preserve"> </w:t>
      </w:r>
      <w:r>
        <w:t xml:space="preserve">(</w:t>
      </w:r>
      <w:hyperlink w:anchor="ref-Grainger1994">
        <w:r>
          <w:rPr>
            <w:rStyle w:val="Hyperlink"/>
            <w:bCs/>
            <w:b/>
          </w:rPr>
          <w:t xml:space="preserve">Grainger1994?</w:t>
        </w:r>
      </w:hyperlink>
      <w:r>
        <w:t xml:space="preserve">;</w:t>
      </w:r>
      <w:r>
        <w:t xml:space="preserve"> </w:t>
      </w:r>
      <w:hyperlink w:anchor="ref-Elgerd1971">
        <w:r>
          <w:rPr>
            <w:rStyle w:val="Hyperlink"/>
            <w:bCs/>
            <w:b/>
          </w:rPr>
          <w:t xml:space="preserve">Elgerd1971?</w:t>
        </w:r>
      </w:hyperlink>
      <w:r>
        <w:t xml:space="preserve">)</w:t>
      </w:r>
      <w:r>
        <w:t xml:space="preserve">. When this electromechanical</w:t>
      </w:r>
      <w:r>
        <w:t xml:space="preserve"> </w:t>
      </w:r>
      <w:r>
        <w:t xml:space="preserve">response is observed across synchronous machines, the decrease in rotor</w:t>
      </w:r>
      <w:r>
        <w:t xml:space="preserve"> </w:t>
      </w:r>
      <w:r>
        <w:t xml:space="preserve">speed will result in a decrease in the synchronous area’s AC frequency</w:t>
      </w:r>
      <w:r>
        <w:t xml:space="preserve"> </w:t>
      </w:r>
      <w:r>
        <w:t xml:space="preserve">as per</w:t>
      </w:r>
      <w:r>
        <w:t xml:space="preserve"> </w:t>
      </w:r>
      <w:hyperlink w:anchor="eq:synch_speed">
        <w:r>
          <w:rPr>
            <w:rStyle w:val="Hyperlink"/>
          </w:rPr>
          <w:t xml:space="preserve">[eq:synch_speed]</w:t>
        </w:r>
      </w:hyperlink>
      <w:r>
        <w:t xml:space="preserve">. The inverse is true for a decrease in</w:t>
      </w:r>
      <w:r>
        <w:t xml:space="preserve"> </w:t>
      </w:r>
      <w:r>
        <w:t xml:space="preserve">electrical load - the synchronous area’s AC frequency will increase.</w:t>
      </w:r>
      <w:r>
        <w:t xml:space="preserve"> </w:t>
      </w:r>
      <w:r>
        <w:t xml:space="preserve">These inherent responses describe a synchronous machine’s</w:t>
      </w:r>
      <w:r>
        <w:t xml:space="preserve"> </w:t>
      </w:r>
      <w:r>
        <w:rPr>
          <w:iCs/>
          <w:i/>
        </w:rPr>
        <w:t xml:space="preserve">inertial</w:t>
      </w:r>
      <w:r>
        <w:rPr>
          <w:iCs/>
          <w:i/>
        </w:rPr>
        <w:t xml:space="preserve"> </w:t>
      </w:r>
      <w:r>
        <w:rPr>
          <w:iCs/>
          <w:i/>
        </w:rPr>
        <w:t xml:space="preserve">response</w:t>
      </w:r>
      <w:r>
        <w:t xml:space="preserve">.</w:t>
      </w:r>
    </w:p>
    <w:p>
      <w:pPr>
        <w:pStyle w:val="BodyText"/>
      </w:pPr>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oMath>
      </m:oMathPara>
    </w:p>
    <w:p>
      <w:pPr>
        <w:pStyle w:val="FirstParagraph"/>
      </w:pPr>
      <w:r>
        <w:t xml:space="preserve">where</w:t>
      </w:r>
      <w:r>
        <w:t xml:space="preserve"> </w:t>
      </w:r>
      <m:oMath>
        <m:sSub>
          <m:e>
            <m:r>
              <m:t>ω</m:t>
            </m:r>
          </m:e>
          <m:sub>
            <m:r>
              <m:t>s</m:t>
            </m:r>
            <m:r>
              <m:t>m</m:t>
            </m:r>
          </m:sub>
        </m:sSub>
      </m:oMath>
      <w:r>
        <w:t xml:space="preserve"> </w:t>
      </w:r>
      <w:r>
        <w:t xml:space="preserve">is the rotor shaft velocity,</w:t>
      </w:r>
      <w:r>
        <w:t xml:space="preserve"> </w:t>
      </w:r>
      <m:oMath>
        <m:r>
          <m:t>J</m:t>
        </m:r>
      </m:oMath>
      <w:r>
        <w:t xml:space="preserve"> </w:t>
      </w:r>
      <w:r>
        <w:t xml:space="preserve">is moment of</w:t>
      </w:r>
      <w:r>
        <w:t xml:space="preserve"> </w:t>
      </w:r>
      <w:r>
        <w:t xml:space="preserve">inertia of the rotor,</w:t>
      </w:r>
      <w:r>
        <w:t xml:space="preserve"> </w:t>
      </w:r>
      <m:oMath>
        <m:sSub>
          <m:e>
            <m:r>
              <m:t>P</m:t>
            </m:r>
          </m:e>
          <m:sub>
            <m:r>
              <m:t>m</m:t>
            </m:r>
          </m:sub>
        </m:sSub>
      </m:oMath>
      <w:r>
        <w:t xml:space="preserve"> </w:t>
      </w:r>
      <w:r>
        <w:t xml:space="preserve">is mechanical power due to</w:t>
      </w:r>
      <w:r>
        <w:t xml:space="preserve"> </w:t>
      </w:r>
      <m:oMath>
        <m:sSub>
          <m:e>
            <m:r>
              <m:t>T</m:t>
            </m:r>
          </m:e>
          <m:sub>
            <m:r>
              <m:t>m</m:t>
            </m:r>
          </m:sub>
        </m:sSub>
      </m:oMath>
      <w:r>
        <w:t xml:space="preserve"> </w:t>
      </w:r>
      <w:r>
        <w:t xml:space="preserve">and</w:t>
      </w:r>
      <w:r>
        <w:t xml:space="preserve"> </w:t>
      </w:r>
      <m:oMath>
        <m:sSub>
          <m:e>
            <m:r>
              <m:t>P</m:t>
            </m:r>
          </m:e>
          <m:sub>
            <m:r>
              <m:t>e</m:t>
            </m:r>
          </m:sub>
        </m:sSub>
      </m:oMath>
      <w:r>
        <w:t xml:space="preserve"> </w:t>
      </w:r>
      <w:r>
        <w:t xml:space="preserve">is electrical power due to</w:t>
      </w:r>
      <w:r>
        <w:t xml:space="preserve"> </w:t>
      </w:r>
      <m:oMath>
        <m:sSub>
          <m:e>
            <m:r>
              <m:t>T</m:t>
            </m:r>
          </m:e>
          <m:sub>
            <m:r>
              <m:t>e</m:t>
            </m:r>
          </m:sub>
        </m:sSub>
      </m:oMath>
      <w:r>
        <w:t xml:space="preserv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of the rotor and stator magnetic fields. Source: (Rebours2009?)." title="" id="55" name="Picture"/>
            <a:graphic>
              <a:graphicData uri="http://schemas.openxmlformats.org/drawingml/2006/picture">
                <pic:pic>
                  <pic:nvPicPr>
                    <pic:cNvPr descr="source/figures/swing.png" id="56" name="Picture"/>
                    <pic:cNvPicPr>
                      <a:picLocks noChangeArrowheads="1" noChangeAspect="1"/>
                    </pic:cNvPicPr>
                  </pic:nvPicPr>
                  <pic:blipFill>
                    <a:blip r:embed="rId54"/>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2: Mechanical power applied to the prime mover results in a mechanical</w:t>
      </w:r>
      <w:r>
        <w:t xml:space="preserve"> </w:t>
      </w:r>
      <w:r>
        <w:t xml:space="preserve">torque</w:t>
      </w:r>
      <w:r>
        <w:t xml:space="preserve"> </w:t>
      </w:r>
      <m:oMath>
        <m:sSub>
          <m:e>
            <m:r>
              <m:t>T</m:t>
            </m:r>
          </m:e>
          <m:sub>
            <m:r>
              <m:t>m</m:t>
            </m:r>
          </m:sub>
        </m:sSub>
      </m:oMath>
      <w:r>
        <w:t xml:space="preserve"> </w:t>
      </w:r>
      <w:r>
        <w:t xml:space="preserve">on the rotor of a synchronous generator. This is opposed by</w:t>
      </w:r>
      <w:r>
        <w:t xml:space="preserve"> </w:t>
      </w:r>
      <w:r>
        <w:t xml:space="preserve">an electromagnetic torque</w:t>
      </w:r>
      <w:r>
        <w:t xml:space="preserve"> </w:t>
      </w:r>
      <m:oMath>
        <m:sSub>
          <m:e>
            <m:r>
              <m:t>T</m:t>
            </m:r>
          </m:e>
          <m:sub>
            <m:r>
              <m:t>e</m:t>
            </m:r>
          </m:sub>
        </m:sSub>
      </m:oMath>
      <w:r>
        <w:t xml:space="preserve"> </w:t>
      </w:r>
      <w:r>
        <w:t xml:space="preserve">that is produced from the interaction of</w:t>
      </w:r>
      <w:r>
        <w:t xml:space="preserve"> </w:t>
      </w:r>
      <w:r>
        <w:t xml:space="preserve">the rotor and stator magnetic fields. Source:</w:t>
      </w:r>
      <w:r>
        <w:t xml:space="preserve"> </w:t>
      </w:r>
      <w:r>
        <w:t xml:space="preserve">(</w:t>
      </w:r>
      <w:hyperlink w:anchor="ref-Rebours2009">
        <w:r>
          <w:rPr>
            <w:rStyle w:val="Hyperlink"/>
            <w:bCs/>
            <w:b/>
          </w:rPr>
          <w:t xml:space="preserve">Rebours2009?</w:t>
        </w:r>
      </w:hyperlink>
      <w:r>
        <w:t xml:space="preserve">)</w:t>
      </w:r>
      <w:r>
        <w:t xml:space="preserve">.</w:t>
      </w:r>
    </w:p>
    <w:bookmarkStart w:id="57" w:name="active-power-imbalance-and-rocof"/>
    <w:p>
      <w:pPr>
        <w:pStyle w:val="Heading4"/>
      </w:pPr>
      <w:r>
        <w:rPr>
          <w:rStyle w:val="SectionNumber"/>
        </w:rPr>
        <w:t xml:space="preserve">4.5.1.1</w:t>
      </w:r>
      <w:r>
        <w:tab/>
      </w:r>
      <w:r>
        <w:t xml:space="preserve">Active power imbalance and RoCoF</w:t>
      </w:r>
    </w:p>
    <w:p>
      <w:pPr>
        <w:pStyle w:val="FirstParagraph"/>
      </w:pPr>
      <w:r>
        <w:t xml:space="preserve">We arrive at the relationship between the active power imbalance</w:t>
      </w:r>
      <w:r>
        <w:t xml:space="preserve"> </w:t>
      </w:r>
      <w:r>
        <w:t xml:space="preserve">(</w:t>
      </w:r>
      <m:oMath>
        <m:sSub>
          <m:e>
            <m:r>
              <m:t>P</m:t>
            </m:r>
          </m:e>
          <m:sub>
            <m:r>
              <m:t>g</m:t>
            </m:r>
            <m:r>
              <m:t>e</m:t>
            </m:r>
            <m:r>
              <m:t>n</m:t>
            </m:r>
          </m:sub>
        </m:sSub>
        <m:r>
          <m:rPr>
            <m:sty m:val="p"/>
          </m:rPr>
          <m:t>−</m:t>
        </m:r>
        <m:sSub>
          <m:e>
            <m:r>
              <m:t>P</m:t>
            </m:r>
          </m:e>
          <m:sub>
            <m:r>
              <m:t>l</m:t>
            </m:r>
            <m:r>
              <m:t>o</m:t>
            </m:r>
            <m:r>
              <m:t>a</m:t>
            </m:r>
            <m:r>
              <m:t>d</m:t>
            </m:r>
          </m:sub>
        </m:sSub>
      </m:oMath>
      <w:r>
        <w:t xml:space="preserve">) in a power system and AC frequency in</w:t>
      </w:r>
      <w:r>
        <w:t xml:space="preserve"> </w:t>
      </w:r>
      <w:hyperlink w:anchor="eq:swing_area">
        <w:r>
          <w:rPr>
            <w:rStyle w:val="Hyperlink"/>
          </w:rPr>
          <w:t xml:space="preserve">[eq:swing_area]</w:t>
        </w:r>
      </w:hyperlink>
      <w:r>
        <w:t xml:space="preserve"> </w:t>
      </w:r>
      <w:r>
        <w:t xml:space="preserve">by extending the dynamics of the swing</w:t>
      </w:r>
      <w:r>
        <w:t xml:space="preserve"> </w:t>
      </w:r>
      <w:r>
        <w:t xml:space="preserve">equation from a single synchronous generator to all synchronous</w:t>
      </w:r>
      <w:r>
        <w:t xml:space="preserve"> </w:t>
      </w:r>
      <w:r>
        <w:t xml:space="preserve">generators in the synchronous area</w:t>
      </w:r>
      <w:r>
        <w:t xml:space="preserve"> </w:t>
      </w:r>
      <w:r>
        <w:t xml:space="preserve">(</w:t>
      </w:r>
      <w:hyperlink w:anchor="ref-Tamrakar2017">
        <w:r>
          <w:rPr>
            <w:rStyle w:val="Hyperlink"/>
            <w:bCs/>
            <w:b/>
          </w:rPr>
          <w:t xml:space="preserve">Tamrakar2017?</w:t>
        </w:r>
      </w:hyperlink>
      <w:r>
        <w:t xml:space="preserve">)</w:t>
      </w:r>
      <w:r>
        <w:t xml:space="preserve">.</w:t>
      </w:r>
      <w:r>
        <w:t xml:space="preserve"> </w:t>
      </w:r>
      <w:hyperlink w:anchor="eq:swing_area">
        <w:r>
          <w:rPr>
            <w:rStyle w:val="Hyperlink"/>
          </w:rPr>
          <w:t xml:space="preserve">[eq:swing_area]</w:t>
        </w:r>
      </w:hyperlink>
      <w:r>
        <w:t xml:space="preserve"> </w:t>
      </w:r>
      <w:r>
        <w:t xml:space="preserve">demonstrates that the rate of change of</w:t>
      </w:r>
      <w:r>
        <w:t xml:space="preserve"> </w:t>
      </w:r>
      <w:r>
        <w:t xml:space="preserve">frequency (</w:t>
      </w:r>
      <w:r>
        <w:rPr>
          <w:iCs/>
          <w:i/>
        </w:rPr>
        <w:t xml:space="preserve">RoCoF</w:t>
      </w:r>
      <w:r>
        <w:t xml:space="preserve">) is proportional to the active power imbalance and</w:t>
      </w:r>
      <w:r>
        <w:t xml:space="preserve"> </w:t>
      </w:r>
      <w:r>
        <w:t xml:space="preserve">inversely proportional to the system’s inertia constant,</w:t>
      </w:r>
      <w:r>
        <w:t xml:space="preserve"> </w:t>
      </w:r>
      <m:oMath>
        <m:r>
          <m:t>H</m:t>
        </m:r>
      </m:oMath>
      <w:r>
        <w:t xml:space="preserve">.</w:t>
      </w:r>
      <w:r>
        <w:t xml:space="preserve"> </w:t>
      </w:r>
      <w:hyperlink w:anchor="eq:swing_area">
        <w:r>
          <w:rPr>
            <w:rStyle w:val="Hyperlink"/>
          </w:rPr>
          <w:t xml:space="preserve">[eq:swing_area]</w:t>
        </w:r>
      </w:hyperlink>
      <w:r>
        <w:t xml:space="preserve"> </w:t>
      </w:r>
      <w:r>
        <w:t xml:space="preserve">is primarily concerned with synchronous</w:t>
      </w:r>
      <w:r>
        <w:t xml:space="preserve"> </w:t>
      </w:r>
      <w:r>
        <w:t xml:space="preserve">generators, not loads, as the rotors of the former store more kinetic</w:t>
      </w:r>
      <w:r>
        <w:t xml:space="preserve"> </w:t>
      </w:r>
      <w:r>
        <w:t xml:space="preserve">energy due to a larger physical mass and higher rotational speeds</w:t>
      </w:r>
      <w:r>
        <w:t xml:space="preserve"> </w:t>
      </w:r>
      <w:r>
        <w:t xml:space="preserve">(</w:t>
      </w:r>
      <w:hyperlink w:anchor="ref-Ulbig2014">
        <w:r>
          <w:rPr>
            <w:rStyle w:val="Hyperlink"/>
            <w:bCs/>
            <w:b/>
          </w:rPr>
          <w:t xml:space="preserve">Ulbig2014?</w:t>
        </w:r>
      </w:hyperlink>
      <w:r>
        <w:t xml:space="preserve">;</w:t>
      </w:r>
      <w:r>
        <w:t xml:space="preserve"> </w:t>
      </w:r>
      <w:hyperlink w:anchor="ref-Denholm2020">
        <w:r>
          <w:rPr>
            <w:rStyle w:val="Hyperlink"/>
            <w:bCs/>
            <w:b/>
          </w:rPr>
          <w:t xml:space="preserve">Denholm2020?</w:t>
        </w:r>
      </w:hyperlink>
      <w:r>
        <w:t xml:space="preserve">)</w:t>
      </w:r>
      <w:r>
        <w:t xml:space="preserve">.</w:t>
      </w:r>
    </w:p>
    <w:p>
      <w:pPr>
        <w:pStyle w:val="BodyText"/>
      </w:pPr>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oMath>
      </m:oMathPara>
    </w:p>
    <w:p>
      <w:pPr>
        <w:pStyle w:val="FirstParagraph"/>
      </w:pPr>
      <w:r>
        <w:t xml:space="preserve">where</w:t>
      </w:r>
      <w:r>
        <w:t xml:space="preserve"> </w:t>
      </w:r>
      <m:oMath>
        <m:r>
          <m:t>H</m:t>
        </m:r>
      </m:oMath>
      <w:r>
        <w:t xml:space="preserve"> </w:t>
      </w:r>
      <w:r>
        <w:t xml:space="preserve">is the inertia constant of the</w:t>
      </w:r>
      <w:r>
        <w:t xml:space="preserve"> </w:t>
      </w:r>
      <w:r>
        <w:t xml:space="preserve">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r>
                  <m:t>ω</m:t>
                </m:r>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system’s total power supply and total</w:t>
      </w:r>
      <w:r>
        <w:t xml:space="preserve"> </w:t>
      </w:r>
      <w:r>
        <w:t xml:space="preserve">power demand (including losses), respectively.</w:t>
      </w:r>
    </w:p>
    <w:bookmarkEnd w:id="57"/>
    <w:bookmarkEnd w:id="58"/>
    <w:bookmarkStart w:id="59" w:name="sec:load_damp"/>
    <w:p>
      <w:pPr>
        <w:pStyle w:val="Heading3"/>
      </w:pPr>
      <w:r>
        <w:rPr>
          <w:rStyle w:val="SectionNumber"/>
        </w:rPr>
        <w:t xml:space="preserve">4.5.2</w:t>
      </w:r>
      <w:r>
        <w:tab/>
      </w:r>
      <w:r>
        <w:t xml:space="preserve">Load damping response</w:t>
      </w:r>
    </w:p>
    <w:p>
      <w:pPr>
        <w:pStyle w:val="FirstParagraph"/>
      </w:pPr>
      <w:r>
        <w:t xml:space="preserve">Another inherent electromechanical response is that of</w:t>
      </w:r>
      <w:r>
        <w:t xml:space="preserve"> </w:t>
      </w:r>
      <w:r>
        <w:t xml:space="preserve">frequency-dependent loads, which include machinery driven by induction</w:t>
      </w:r>
      <w:r>
        <w:t xml:space="preserve"> </w:t>
      </w:r>
      <w:r>
        <w:t xml:space="preserve">motors</w:t>
      </w:r>
      <w:r>
        <w:t xml:space="preserve"> </w:t>
      </w:r>
      <w:r>
        <w:t xml:space="preserve">(</w:t>
      </w:r>
      <w:hyperlink w:anchor="ref-AustralianEnergyMarketOperator2019l">
        <w:r>
          <w:rPr>
            <w:rStyle w:val="Hyperlink"/>
            <w:bCs/>
            <w:b/>
          </w:rPr>
          <w:t xml:space="preserve">AustralianEnergyMarketOperator2019l?</w:t>
        </w:r>
      </w:hyperlink>
      <w:r>
        <w:t xml:space="preserve">)</w:t>
      </w:r>
      <w:r>
        <w:t xml:space="preserve">. The power consumption of</w:t>
      </w:r>
      <w:r>
        <w:t xml:space="preserve"> </w:t>
      </w:r>
      <w:r>
        <w:t xml:space="preserve">frequency-dependent loads decreases with lower frequencies and increases</w:t>
      </w:r>
      <w:r>
        <w:t xml:space="preserve"> </w:t>
      </w:r>
      <w:r>
        <w:t xml:space="preserve">with higher frequencies. This is known as</w:t>
      </w:r>
      <w:r>
        <w:t xml:space="preserve"> </w:t>
      </w:r>
      <w:r>
        <w:rPr>
          <w:iCs/>
          <w:i/>
        </w:rPr>
        <w:t xml:space="preserve">load damping</w:t>
      </w:r>
      <w:r>
        <w:t xml:space="preserve">, as the</w:t>
      </w:r>
      <w:r>
        <w:t xml:space="preserve"> </w:t>
      </w:r>
      <w:r>
        <w:t xml:space="preserve">response reduces the imbalance in active power supply and demand and</w:t>
      </w:r>
      <w:r>
        <w:t xml:space="preserve"> </w:t>
      </w:r>
      <w:r>
        <w:t xml:space="preserve">hence dampens the change in AC frequency as described in</w:t>
      </w:r>
      <w:r>
        <w:t xml:space="preserve"> </w:t>
      </w:r>
      <w:hyperlink w:anchor="eq:swing_area">
        <w:r>
          <w:rPr>
            <w:rStyle w:val="Hyperlink"/>
          </w:rPr>
          <w:t xml:space="preserve">[eq:swing_area]</w:t>
        </w:r>
      </w:hyperlink>
      <w:r>
        <w:t xml:space="preserve"> </w:t>
      </w:r>
      <w:r>
        <w:t xml:space="preserve">(</w:t>
      </w:r>
      <w:hyperlink w:anchor="ref-Denholm2020">
        <w:r>
          <w:rPr>
            <w:rStyle w:val="Hyperlink"/>
            <w:bCs/>
            <w:b/>
          </w:rPr>
          <w:t xml:space="preserve">Denholm2020?</w:t>
        </w:r>
      </w:hyperlink>
      <w:r>
        <w:t xml:space="preserve">)</w:t>
      </w:r>
      <w:r>
        <w:t xml:space="preserve">. However, load damping is</w:t>
      </w:r>
      <w:r>
        <w:t xml:space="preserve"> </w:t>
      </w:r>
      <w:r>
        <w:t xml:space="preserve">diminishing in power systems around the world as a growing share of load</w:t>
      </w:r>
      <w:r>
        <w:t xml:space="preserve"> </w:t>
      </w:r>
      <w:r>
        <w:t xml:space="preserve">is coupled to the power system through power electronic controllers,</w:t>
      </w:r>
      <w:r>
        <w:t xml:space="preserve"> </w:t>
      </w:r>
      <w:r>
        <w:t xml:space="preserve">which enable loads to operate independently of the power system</w:t>
      </w:r>
      <w:r>
        <w:t xml:space="preserve"> </w:t>
      </w:r>
      <w:r>
        <w:t xml:space="preserve">frequency</w:t>
      </w:r>
      <w:r>
        <w:t xml:space="preserve"> </w:t>
      </w:r>
      <w:r>
        <w:t xml:space="preserve">(</w:t>
      </w:r>
      <w:hyperlink w:anchor="ref-Undrill2018">
        <w:r>
          <w:rPr>
            <w:rStyle w:val="Hyperlink"/>
            <w:bCs/>
            <w:b/>
          </w:rPr>
          <w:t xml:space="preserve">Undrill2018?</w:t>
        </w:r>
      </w:hyperlink>
      <w:r>
        <w:t xml:space="preserve">)</w:t>
      </w:r>
      <w:r>
        <w:t xml:space="preserve">.</w:t>
      </w:r>
    </w:p>
    <w:bookmarkEnd w:id="59"/>
    <w:bookmarkEnd w:id="60"/>
    <w:bookmarkStart w:id="61" w:name="the-role-of-frequency-control-services"/>
    <w:p>
      <w:pPr>
        <w:pStyle w:val="Heading2"/>
      </w:pPr>
      <w:r>
        <w:rPr>
          <w:rStyle w:val="SectionNumber"/>
        </w:rPr>
        <w:t xml:space="preserve">4.6</w:t>
      </w:r>
      <w:r>
        <w:tab/>
      </w:r>
      <w:r>
        <w:t xml:space="preserve">The role of frequency control services</w:t>
      </w:r>
    </w:p>
    <w:p>
      <w:pPr>
        <w:pStyle w:val="FirstParagraph"/>
      </w:pPr>
      <w:r>
        <w:t xml:space="preserve">As discussed in</w:t>
      </w:r>
      <w:r>
        <w:t xml:space="preserve"> </w:t>
      </w:r>
      <w:hyperlink w:anchor="sec:scuc_sced">
        <w:r>
          <w:rPr>
            <w:rStyle w:val="Hyperlink"/>
          </w:rPr>
          <w:t xml:space="preserve">2.4</w:t>
        </w:r>
      </w:hyperlink>
      <w:r>
        <w:t xml:space="preserve">, SCED is executed by vertically-integrated</w:t>
      </w:r>
      <w:r>
        <w:t xml:space="preserve"> </w:t>
      </w:r>
      <w:r>
        <w:t xml:space="preserve">utilities and in mandatory pool electricity markets to ensure that</w:t>
      </w:r>
      <w:r>
        <w:t xml:space="preserve"> </w:t>
      </w:r>
      <w:r>
        <w:t xml:space="preserve">active power supply and demand is efficiently balanced subject to</w:t>
      </w:r>
      <w:r>
        <w:t xml:space="preserve"> </w:t>
      </w:r>
      <w:r>
        <w:t xml:space="preserve">network constraints and system security and reliability requirements.</w:t>
      </w:r>
      <w:r>
        <w:t xml:space="preserve"> </w:t>
      </w:r>
      <w:r>
        <w:t xml:space="preserve">Between, and potentially across consecutive SCED processes (dispatch</w:t>
      </w:r>
      <w:r>
        <w:t xml:space="preserve"> </w:t>
      </w:r>
      <w:r>
        <w:t xml:space="preserve">intervals) and unit commitment schedules,</w:t>
      </w:r>
      <w:r>
        <w:t xml:space="preserve"> </w:t>
      </w:r>
      <w:r>
        <w:rPr>
          <w:iCs/>
          <w:i/>
        </w:rPr>
        <w:t xml:space="preserve">frequency control services</w:t>
      </w:r>
      <w:r>
        <w:t xml:space="preserve"> </w:t>
      </w:r>
      <w:r>
        <w:t xml:space="preserve">are used by the system operator to manage both small and large</w:t>
      </w:r>
      <w:r>
        <w:t xml:space="preserve"> </w:t>
      </w:r>
      <w:r>
        <w:t xml:space="preserve">instantaneous active power imbalances that may arise due to variability</w:t>
      </w:r>
      <w:r>
        <w:t xml:space="preserve"> </w:t>
      </w:r>
      <w:r>
        <w:t xml:space="preserve">and uncertainty.</w:t>
      </w:r>
    </w:p>
    <w:bookmarkEnd w:id="61"/>
    <w:bookmarkStart w:id="76" w:name="sec:conventional_freq_control"/>
    <w:p>
      <w:pPr>
        <w:pStyle w:val="Heading2"/>
      </w:pPr>
      <w:r>
        <w:rPr>
          <w:rStyle w:val="SectionNumber"/>
        </w:rPr>
        <w:t xml:space="preserve">4.7</w:t>
      </w:r>
      <w:r>
        <w:tab/>
      </w:r>
      <w:r>
        <w:t xml:space="preserve">Conventional frequency control scheme and services</w:t>
      </w:r>
    </w:p>
    <w:p>
      <w:pPr>
        <w:pStyle w:val="FirstParagraph"/>
      </w:pPr>
      <w:r>
        <w:t xml:space="preserve">Power system operators typically employ a hierarchical and sequential</w:t>
      </w:r>
      <w:r>
        <w:t xml:space="preserve"> </w:t>
      </w:r>
      <w:r>
        <w:t xml:space="preserve">control scheme to contain AC frequency within as narrow a band as</w:t>
      </w:r>
      <w:r>
        <w:t xml:space="preserve"> </w:t>
      </w:r>
      <w:r>
        <w:t xml:space="preserve">possible, particularly during contingency events</w:t>
      </w:r>
      <w:r>
        <w:t xml:space="preserve"> </w:t>
      </w:r>
      <w:r>
        <w:t xml:space="preserve">(</w:t>
      </w:r>
      <w:hyperlink w:anchor="ref-Undrill2018">
        <w:r>
          <w:rPr>
            <w:rStyle w:val="Hyperlink"/>
            <w:bCs/>
            <w:b/>
          </w:rPr>
          <w:t xml:space="preserve">Undrill2018?</w:t>
        </w:r>
      </w:hyperlink>
      <w:r>
        <w:t xml:space="preserve">;</w:t>
      </w:r>
      <w:r>
        <w:t xml:space="preserve"> </w:t>
      </w:r>
      <w:hyperlink w:anchor="ref-Ela2011">
        <w:r>
          <w:rPr>
            <w:rStyle w:val="Hyperlink"/>
            <w:bCs/>
            <w:b/>
          </w:rPr>
          <w:t xml:space="preserve">Ela2011?</w:t>
        </w:r>
      </w:hyperlink>
      <w:r>
        <w:t xml:space="preserve">)</w:t>
      </w:r>
      <w:r>
        <w:t xml:space="preserve">. This control scheme involves the use of</w:t>
      </w:r>
      <w:r>
        <w:t xml:space="preserve"> </w:t>
      </w:r>
      <w:r>
        <w:t xml:space="preserve">generation or load units with reserve capacity that provide frequency</w:t>
      </w:r>
      <w:r>
        <w:t xml:space="preserve"> </w:t>
      </w:r>
      <w:r>
        <w:t xml:space="preserve">control services</w:t>
      </w:r>
      <w:r>
        <w:t xml:space="preserve"> </w:t>
      </w:r>
      <w:r>
        <w:t xml:space="preserve">(</w:t>
      </w:r>
      <w:hyperlink w:anchor="ref-Ela2011">
        <w:r>
          <w:rPr>
            <w:rStyle w:val="Hyperlink"/>
            <w:bCs/>
            <w:b/>
          </w:rPr>
          <w:t xml:space="preserve">Ela2011?</w:t>
        </w:r>
      </w:hyperlink>
      <w:r>
        <w:t xml:space="preserve">)</w:t>
      </w:r>
      <w:r>
        <w:t xml:space="preserve">. For these units to mitigate power system</w:t>
      </w:r>
      <w:r>
        <w:t xml:space="preserve"> </w:t>
      </w:r>
      <w:r>
        <w:t xml:space="preserve">frequency deviations, they must have reserve capacity in the form of</w:t>
      </w:r>
      <w:r>
        <w:t xml:space="preserve"> </w:t>
      </w:r>
      <w:r>
        <w:rPr>
          <w:iCs/>
          <w:i/>
        </w:rPr>
        <w:t xml:space="preserve">headroom</w:t>
      </w:r>
      <w:r>
        <w:t xml:space="preserve"> </w:t>
      </w:r>
      <w:r>
        <w:t xml:space="preserve">(the ability to increase active power output) to respond to</w:t>
      </w:r>
      <w:r>
        <w:t xml:space="preserve"> </w:t>
      </w:r>
      <w:r>
        <w:t xml:space="preserve">an under-frequency event,</w:t>
      </w:r>
      <w:r>
        <w:t xml:space="preserve"> </w:t>
      </w:r>
      <w:r>
        <w:rPr>
          <w:iCs/>
          <w:i/>
        </w:rPr>
        <w:t xml:space="preserve">footroom</w:t>
      </w:r>
      <w:r>
        <w:t xml:space="preserve"> </w:t>
      </w:r>
      <w:r>
        <w:t xml:space="preserve">(the ability to decrease active</w:t>
      </w:r>
      <w:r>
        <w:t xml:space="preserve"> </w:t>
      </w:r>
      <w:r>
        <w:t xml:space="preserve">power output) to respond to an over-frequency event, or both</w:t>
      </w:r>
      <w:r>
        <w:t xml:space="preserve"> </w:t>
      </w:r>
      <w:r>
        <w:t xml:space="preserve">(</w:t>
      </w:r>
      <w:hyperlink w:anchor="ref-Eto2010a">
        <w:r>
          <w:rPr>
            <w:rStyle w:val="Hyperlink"/>
            <w:bCs/>
            <w:b/>
          </w:rPr>
          <w:t xml:space="preserve">Eto2010a?</w:t>
        </w:r>
      </w:hyperlink>
      <w:r>
        <w:t xml:space="preserve">)</w:t>
      </w:r>
      <w:r>
        <w:t xml:space="preserve">. Under-frequency events are generally of greater concern to</w:t>
      </w:r>
      <w:r>
        <w:t xml:space="preserve"> </w:t>
      </w:r>
      <w:r>
        <w:t xml:space="preserve">the system operator (e.g. loss of large generator). The various</w:t>
      </w:r>
      <w:r>
        <w:t xml:space="preserve"> </w:t>
      </w:r>
      <w:r>
        <w:t xml:space="preserve">frequency control services differ based on their purpose, activation</w:t>
      </w:r>
      <w:r>
        <w:t xml:space="preserve"> </w:t>
      </w:r>
      <w:r>
        <w:t xml:space="preserve">method, response time and control method</w:t>
      </w:r>
      <w:r>
        <w:t xml:space="preserve"> </w:t>
      </w:r>
      <w:r>
        <w:t xml:space="preserve">(</w:t>
      </w:r>
      <w:hyperlink w:anchor="fig:freq_control">
        <w:r>
          <w:rPr>
            <w:rStyle w:val="Hyperlink"/>
          </w:rPr>
          <w:t xml:space="preserve">5</w:t>
        </w:r>
      </w:hyperlink>
      <w:r>
        <w:t xml:space="preserve">). In the following subsections, we outline</w:t>
      </w:r>
      <w:r>
        <w:t xml:space="preserve"> </w:t>
      </w:r>
      <w:r>
        <w:t xml:space="preserve">frequency control services that are common in many power systems.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frames over which the various frequency control services are provided. Source: (AustralianEnergyMarketOperator2020l?)." title="" id="63" name="Picture"/>
            <a:graphic>
              <a:graphicData uri="http://schemas.openxmlformats.org/drawingml/2006/picture">
                <pic:pic>
                  <pic:nvPicPr>
                    <pic:cNvPr descr="source/figures/freq_control-03.png" id="64" name="Picture"/>
                    <pic:cNvPicPr>
                      <a:picLocks noChangeArrowheads="1" noChangeAspect="1"/>
                    </pic:cNvPicPr>
                  </pic:nvPicPr>
                  <pic:blipFill>
                    <a:blip r:embed="rId62"/>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3: (a) A trace of power system frequency with corresponding frequency</w:t>
      </w:r>
      <w:r>
        <w:t xml:space="preserve"> </w:t>
      </w:r>
      <w:r>
        <w:t xml:space="preserve">control services following a loss-of-generation contingency event. (b)</w:t>
      </w:r>
      <w:r>
        <w:t xml:space="preserve"> </w:t>
      </w:r>
      <w:r>
        <w:t xml:space="preserve">The timeframes over which the various frequency control services are</w:t>
      </w:r>
      <w:r>
        <w:t xml:space="preserve"> </w:t>
      </w:r>
      <w:r>
        <w:t xml:space="preserve">provided. Source:</w:t>
      </w:r>
      <w:r>
        <w:t xml:space="preserve"> </w:t>
      </w:r>
      <w:r>
        <w:t xml:space="preserve">(</w:t>
      </w:r>
      <w:hyperlink w:anchor="ref-AustralianEnergyMarketOperator2020l">
        <w:r>
          <w:rPr>
            <w:rStyle w:val="Hyperlink"/>
            <w:bCs/>
            <w:b/>
          </w:rPr>
          <w:t xml:space="preserve">AustralianEnergyMarketOperator2020l?</w:t>
        </w:r>
      </w:hyperlink>
      <w:r>
        <w:t xml:space="preserve">)</w:t>
      </w:r>
      <w:r>
        <w:t xml:space="preserve">.</w:t>
      </w:r>
    </w:p>
    <w:bookmarkStart w:id="65" w:name="inertial-response"/>
    <w:p>
      <w:pPr>
        <w:pStyle w:val="Heading3"/>
      </w:pPr>
      <w:r>
        <w:rPr>
          <w:rStyle w:val="SectionNumber"/>
        </w:rPr>
        <w:t xml:space="preserve">4.7.1</w:t>
      </w:r>
      <w:r>
        <w:tab/>
      </w:r>
      <w:r>
        <w:t xml:space="preserve">Inertial response</w:t>
      </w:r>
    </w:p>
    <w:p>
      <w:pPr>
        <w:pStyle w:val="FirstParagraph"/>
      </w:pPr>
      <w:r>
        <w:t xml:space="preserve">As discussed in</w:t>
      </w:r>
      <w:r>
        <w:t xml:space="preserve"> </w:t>
      </w:r>
      <w:hyperlink w:anchor="sec:electromech">
        <w:r>
          <w:rPr>
            <w:rStyle w:val="Hyperlink"/>
          </w:rPr>
          <w:t xml:space="preserve">3.3.1</w:t>
        </w:r>
      </w:hyperlink>
      <w:r>
        <w:t xml:space="preserve">, synchronous machines have an inherent</w:t>
      </w:r>
      <w:r>
        <w:t xml:space="preserve"> </w:t>
      </w:r>
      <w:r>
        <w:t xml:space="preserve">inertial response to AC frequency deviations that must be considered in</w:t>
      </w:r>
      <w:r>
        <w:t xml:space="preserve"> </w:t>
      </w:r>
      <w:r>
        <w:t xml:space="preserve">the frequency control strategy of a power system. For a a given active</w:t>
      </w:r>
      <w:r>
        <w:t xml:space="preserve"> </w:t>
      </w:r>
      <w:r>
        <w:t xml:space="preserve">power imbalance, the inertia constant of the synchronous area,</w:t>
      </w:r>
      <w:r>
        <w:t xml:space="preserve"> </w:t>
      </w:r>
      <m:oMath>
        <m:r>
          <m:t>H</m:t>
        </m:r>
      </m:oMath>
      <w:r>
        <w:t xml:space="preserve">,</w:t>
      </w:r>
      <w:r>
        <w:t xml:space="preserve"> </w:t>
      </w:r>
      <w:r>
        <w:t xml:space="preserve">determines the magnitude of the initial RoCoF following a contingency</w:t>
      </w:r>
      <w:r>
        <w:t xml:space="preserve"> </w:t>
      </w:r>
      <w:r>
        <w:t xml:space="preserve">event (see</w:t>
      </w:r>
      <w:r>
        <w:t xml:space="preserve"> </w:t>
      </w:r>
      <w:hyperlink w:anchor="eq:swing_area">
        <w:r>
          <w:rPr>
            <w:rStyle w:val="Hyperlink"/>
          </w:rPr>
          <w:t xml:space="preserve">[eq:swing_area]</w:t>
        </w:r>
      </w:hyperlink>
      <w:r>
        <w:t xml:space="preserve">) and the speed at which the power system can</w:t>
      </w:r>
      <w:r>
        <w:t xml:space="preserve"> </w:t>
      </w:r>
      <w:r>
        <w:t xml:space="preserve">be returned to the nominal frequency</w:t>
      </w:r>
      <w:r>
        <w:t xml:space="preserve"> </w:t>
      </w:r>
      <w:r>
        <w:t xml:space="preserve">(</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w:t>
      </w:r>
    </w:p>
    <w:bookmarkEnd w:id="65"/>
    <w:bookmarkStart w:id="66" w:name="primary-frequency-control"/>
    <w:p>
      <w:pPr>
        <w:pStyle w:val="Heading3"/>
      </w:pPr>
      <w:r>
        <w:rPr>
          <w:rStyle w:val="SectionNumber"/>
        </w:rPr>
        <w:t xml:space="preserve">4.7.2</w:t>
      </w:r>
      <w:r>
        <w:tab/>
      </w:r>
      <w:r>
        <w:t xml:space="preserve">Primary frequency control</w:t>
      </w:r>
    </w:p>
    <w:p>
      <w:pPr>
        <w:pStyle w:val="FirstParagraph"/>
      </w:pPr>
      <w:r>
        <w:t xml:space="preserve">The aim of primary frequency control (PFC) is to arrest the frequency</w:t>
      </w:r>
      <w:r>
        <w:t xml:space="preserve"> </w:t>
      </w:r>
      <w:r>
        <w:t xml:space="preserve">deviation through the autonomous response of generators and</w:t>
      </w:r>
      <w:r>
        <w:t xml:space="preserve"> </w:t>
      </w:r>
      <w:r>
        <w:t xml:space="preserve">frequency-responsive demand-response to locally-measured frequency</w:t>
      </w:r>
      <w:r>
        <w:t xml:space="preserve"> </w:t>
      </w:r>
      <w:r>
        <w:t xml:space="preserve">deviations that exceed a certain control dead-band</w:t>
      </w:r>
      <w:r>
        <w:t xml:space="preserve"> </w:t>
      </w:r>
      <w:r>
        <w:t xml:space="preserve">(</w:t>
      </w:r>
      <w:hyperlink w:anchor="ref-Ela2012b">
        <w:r>
          <w:rPr>
            <w:rStyle w:val="Hyperlink"/>
            <w:bCs/>
            <w:b/>
          </w:rPr>
          <w:t xml:space="preserve">Ela2012b?</w:t>
        </w:r>
      </w:hyperlink>
      <w:r>
        <w:t xml:space="preserve">;</w:t>
      </w:r>
      <w:r>
        <w:t xml:space="preserve"> </w:t>
      </w:r>
      <w:hyperlink w:anchor="ref-Wang2003">
        <w:r>
          <w:rPr>
            <w:rStyle w:val="Hyperlink"/>
            <w:bCs/>
            <w:b/>
          </w:rPr>
          <w:t xml:space="preserve">Wang2003?</w:t>
        </w:r>
      </w:hyperlink>
      <w:r>
        <w:t xml:space="preserve">;</w:t>
      </w:r>
      <w:r>
        <w:t xml:space="preserve"> </w:t>
      </w:r>
      <w:hyperlink w:anchor="ref-AustralianEnergyMarketOperator2019e">
        <w:r>
          <w:rPr>
            <w:rStyle w:val="Hyperlink"/>
            <w:bCs/>
            <w:b/>
          </w:rPr>
          <w:t xml:space="preserve">AustralianEnergyMarketOperator2019e?</w:t>
        </w:r>
      </w:hyperlink>
      <w:r>
        <w:t xml:space="preserve">)</w:t>
      </w:r>
      <w:r>
        <w:t xml:space="preserve">. For</w:t>
      </w:r>
      <w:r>
        <w:t xml:space="preserve"> </w:t>
      </w:r>
      <w:r>
        <w:t xml:space="preserve">generators, this is achieved through</w:t>
      </w:r>
      <w:r>
        <w:t xml:space="preserve"> </w:t>
      </w:r>
      <w:r>
        <w:rPr>
          <w:iCs/>
          <w:i/>
        </w:rPr>
        <w:t xml:space="preserve">droop control</w:t>
      </w:r>
      <w:r>
        <w:t xml:space="preserve">, in which a</w:t>
      </w:r>
      <w:r>
        <w:t xml:space="preserve"> </w:t>
      </w:r>
      <w:r>
        <w:t xml:space="preserve">deviation from synchronous speed corresponds to a change in the active</w:t>
      </w:r>
      <w:r>
        <w:t xml:space="preserve"> </w:t>
      </w:r>
      <w:r>
        <w:t xml:space="preserve">power output of a generator according to its droop characteristic</w:t>
      </w:r>
      <w:r>
        <w:t xml:space="preserve"> </w:t>
      </w:r>
      <w:r>
        <w:t xml:space="preserve">(</w:t>
      </w:r>
      <w:hyperlink w:anchor="fig:droop">
        <w:r>
          <w:rPr>
            <w:rStyle w:val="Hyperlink"/>
          </w:rPr>
          <w:t xml:space="preserve">6</w:t>
        </w:r>
      </w:hyperlink>
      <w:r>
        <w:t xml:space="preserve">, from A to</w:t>
      </w:r>
      <w:r>
        <w:t xml:space="preserve"> </w:t>
      </w:r>
      <w:r>
        <w:t xml:space="preserve">B along</w:t>
      </w:r>
      <w:r>
        <w:t xml:space="preserve"> </w:t>
      </w:r>
      <m:oMath>
        <m:sSub>
          <m:e>
            <m:r>
              <m:t>L</m:t>
            </m:r>
          </m:e>
          <m:sub>
            <m:r>
              <m:t>0</m:t>
            </m:r>
          </m:sub>
        </m:sSub>
      </m:oMath>
      <w:r>
        <w:t xml:space="preserve">)</w:t>
      </w:r>
      <w:r>
        <w:t xml:space="preserve"> </w:t>
      </w:r>
      <w:r>
        <w:t xml:space="preserve">(</w:t>
      </w:r>
      <w:hyperlink w:anchor="ref-Eto2018">
        <w:r>
          <w:rPr>
            <w:rStyle w:val="Hyperlink"/>
            <w:bCs/>
            <w:b/>
          </w:rPr>
          <w:t xml:space="preserve">Eto2018?</w:t>
        </w:r>
      </w:hyperlink>
      <w:r>
        <w:t xml:space="preserve">;</w:t>
      </w:r>
      <w:r>
        <w:t xml:space="preserve"> </w:t>
      </w:r>
      <w:hyperlink w:anchor="ref-Ela2012b">
        <w:r>
          <w:rPr>
            <w:rStyle w:val="Hyperlink"/>
            <w:bCs/>
            <w:b/>
          </w:rPr>
          <w:t xml:space="preserve">Ela2012b?</w:t>
        </w:r>
      </w:hyperlink>
      <w:r>
        <w:t xml:space="preserve">)</w:t>
      </w:r>
      <w:r>
        <w:t xml:space="preserve">. Droop control is implemented</w:t>
      </w:r>
      <w:r>
        <w:t xml:space="preserve"> </w:t>
      </w:r>
      <w:r>
        <w:t xml:space="preserve">through the turbine governors of synchronous generators or the inverter</w:t>
      </w:r>
      <w:r>
        <w:t xml:space="preserve"> </w:t>
      </w:r>
      <w:r>
        <w:t xml:space="preserve">control system for IBR</w:t>
      </w:r>
      <w:r>
        <w:t xml:space="preserve"> </w:t>
      </w:r>
      <w:r>
        <w:t xml:space="preserve">(</w:t>
      </w:r>
      <w:hyperlink w:anchor="ref-Undrill2018">
        <w:r>
          <w:rPr>
            <w:rStyle w:val="Hyperlink"/>
            <w:bCs/>
            <w:b/>
          </w:rPr>
          <w:t xml:space="preserve">Undrill2018?</w:t>
        </w:r>
      </w:hyperlink>
      <w:r>
        <w:t xml:space="preserve">)</w:t>
      </w:r>
      <w:r>
        <w:t xml:space="preserve">. Provided there is a sufficient</w:t>
      </w:r>
      <w:r>
        <w:t xml:space="preserve"> </w:t>
      </w:r>
      <w:r>
        <w:t xml:space="preserve">amount of PFC reserve to arrest the system frequency, the speed of PFC</w:t>
      </w:r>
      <w:r>
        <w:t xml:space="preserve"> </w:t>
      </w:r>
      <w:r>
        <w:t xml:space="preserve">determines the</w:t>
      </w:r>
      <w:r>
        <w:t xml:space="preserve"> </w:t>
      </w:r>
      <w:r>
        <w:rPr>
          <w:iCs/>
          <w:i/>
        </w:rPr>
        <w:t xml:space="preserve">frequency zenith</w:t>
      </w:r>
      <w:r>
        <w:t xml:space="preserve"> </w:t>
      </w:r>
      <w:r>
        <w:t xml:space="preserve">or</w:t>
      </w:r>
      <w:r>
        <w:t xml:space="preserve"> </w:t>
      </w:r>
      <w:r>
        <w:rPr>
          <w:iCs/>
          <w:i/>
        </w:rPr>
        <w:t xml:space="preserve">frequency nadir</w:t>
      </w:r>
      <w:r>
        <w:t xml:space="preserve">, which are the</w:t>
      </w:r>
      <w:r>
        <w:t xml:space="preserve"> </w:t>
      </w:r>
      <w:r>
        <w:t xml:space="preserve">maximum or minimum system frequency, respectively, following an active</w:t>
      </w:r>
      <w:r>
        <w:t xml:space="preserve"> </w:t>
      </w:r>
      <w:r>
        <w:t xml:space="preserve">power imbalance event</w:t>
      </w:r>
      <w:r>
        <w:t xml:space="preserve"> </w:t>
      </w:r>
      <w:r>
        <w:t xml:space="preserve">(</w:t>
      </w:r>
      <w:hyperlink w:anchor="ref-Eto2010a">
        <w:r>
          <w:rPr>
            <w:rStyle w:val="Hyperlink"/>
            <w:bCs/>
            <w:b/>
          </w:rPr>
          <w:t xml:space="preserve">Eto2010a?</w:t>
        </w:r>
      </w:hyperlink>
      <w:r>
        <w:t xml:space="preserve">)</w:t>
      </w:r>
      <w:r>
        <w:t xml:space="preserve">. PFC can be activated in response to</w:t>
      </w:r>
      <w:r>
        <w:t xml:space="preserve"> </w:t>
      </w:r>
      <w:r>
        <w:t xml:space="preserve">small (tight dead-band) or contingency (wide dead-band) imbalance events</w:t>
      </w:r>
      <w:r>
        <w:t xml:space="preserve"> </w:t>
      </w:r>
      <w:r>
        <w:t xml:space="preserve">and should ideally be sustained until secondary frequency control can</w:t>
      </w:r>
      <w:r>
        <w:t xml:space="preserve"> </w:t>
      </w:r>
      <w:r>
        <w:t xml:space="preserve">take over</w:t>
      </w:r>
      <w:r>
        <w:t xml:space="preserve"> </w:t>
      </w:r>
      <w:r>
        <w:t xml:space="preserve">(</w:t>
      </w:r>
      <w:hyperlink w:anchor="ref-Eto2018">
        <w:r>
          <w:rPr>
            <w:rStyle w:val="Hyperlink"/>
            <w:bCs/>
            <w:b/>
          </w:rPr>
          <w:t xml:space="preserve">Eto2018?</w:t>
        </w:r>
      </w:hyperlink>
      <w:r>
        <w:t xml:space="preserve">)</w:t>
      </w:r>
      <w:r>
        <w:t xml:space="preserve">.</w:t>
      </w:r>
    </w:p>
    <w:bookmarkEnd w:id="66"/>
    <w:bookmarkStart w:id="70" w:name="secondary-frequency-control"/>
    <w:p>
      <w:pPr>
        <w:pStyle w:val="Heading3"/>
      </w:pPr>
      <w:r>
        <w:rPr>
          <w:rStyle w:val="SectionNumber"/>
        </w:rPr>
        <w:t xml:space="preserve">4.7.3</w:t>
      </w:r>
      <w:r>
        <w:tab/>
      </w:r>
      <w:r>
        <w:t xml:space="preserve">Secondary frequency control</w:t>
      </w:r>
    </w:p>
    <w:p>
      <w:pPr>
        <w:pStyle w:val="FirstParagraph"/>
      </w:pPr>
      <w:r>
        <w:t xml:space="preserve">Secondary frequency control (SFC) replaces PFC and can consist of either</w:t>
      </w:r>
      <w:r>
        <w:t xml:space="preserve"> </w:t>
      </w:r>
      <w:r>
        <w:t xml:space="preserve">or both of a synchronous area secondary control system known as an</w:t>
      </w:r>
      <w:r>
        <w:t xml:space="preserve"> </w:t>
      </w:r>
      <w:r>
        <w:rPr>
          <w:iCs/>
          <w:i/>
        </w:rPr>
        <w:t xml:space="preserve">Automatic Generation Control</w:t>
      </w:r>
      <w:r>
        <w:t xml:space="preserve"> </w:t>
      </w:r>
      <w:r>
        <w:t xml:space="preserve">(AGC) or unit-level load controllers (the</w:t>
      </w:r>
      <w:r>
        <w:t xml:space="preserve"> </w:t>
      </w:r>
      <w:r>
        <w:t xml:space="preserve">latter is illustrated in</w:t>
      </w:r>
      <w:r>
        <w:t xml:space="preserve"> </w:t>
      </w:r>
      <w:hyperlink w:anchor="fig:droop">
        <w:r>
          <w:rPr>
            <w:rStyle w:val="Hyperlink"/>
          </w:rPr>
          <w:t xml:space="preserve">6</w:t>
        </w:r>
      </w:hyperlink>
      <w:r>
        <w:t xml:space="preserve">)</w:t>
      </w:r>
      <w:r>
        <w:t xml:space="preserve"> </w:t>
      </w:r>
      <w:r>
        <w:t xml:space="preserve">(</w:t>
      </w:r>
      <w:hyperlink w:anchor="ref-Undrill2018">
        <w:r>
          <w:rPr>
            <w:rStyle w:val="Hyperlink"/>
            <w:bCs/>
            <w:b/>
          </w:rPr>
          <w:t xml:space="preserve">Undrill2018?</w:t>
        </w:r>
      </w:hyperlink>
      <w:r>
        <w:t xml:space="preserve">;</w:t>
      </w:r>
      <w:r>
        <w:t xml:space="preserve"> </w:t>
      </w:r>
      <w:hyperlink w:anchor="ref-Eto2018">
        <w:r>
          <w:rPr>
            <w:rStyle w:val="Hyperlink"/>
            <w:bCs/>
            <w:b/>
          </w:rPr>
          <w:t xml:space="preserve">Eto2018?</w:t>
        </w:r>
      </w:hyperlink>
      <w:r>
        <w:t xml:space="preserve">;</w:t>
      </w:r>
      <w:r>
        <w:t xml:space="preserve"> </w:t>
      </w:r>
      <w:hyperlink w:anchor="ref-Undrill2019">
        <w:r>
          <w:rPr>
            <w:rStyle w:val="Hyperlink"/>
            <w:bCs/>
            <w:b/>
          </w:rPr>
          <w:t xml:space="preserve">Undrill2019?</w:t>
        </w:r>
      </w:hyperlink>
      <w:r>
        <w:t xml:space="preserve">)</w:t>
      </w:r>
      <w:r>
        <w:t xml:space="preserve">. The most</w:t>
      </w:r>
      <w:r>
        <w:t xml:space="preserve"> </w:t>
      </w:r>
      <w:r>
        <w:t xml:space="preserve">common strategy is for a synchronous area AGC to implement</w:t>
      </w:r>
      <w:r>
        <w:t xml:space="preserve"> </w:t>
      </w:r>
      <w:r>
        <w:t xml:space="preserve">proportional-integral control on the Area Control Error (ACE) with a</w:t>
      </w:r>
      <w:r>
        <w:t xml:space="preserve"> </w:t>
      </w:r>
      <w:r>
        <w:t xml:space="preserve">tie-line bias</w:t>
      </w:r>
      <w:r>
        <w:t xml:space="preserve"> </w:t>
      </w:r>
      <w:r>
        <w:t xml:space="preserve">(</w:t>
      </w:r>
      <w:hyperlink w:anchor="ref-Machowski2020">
        <w:r>
          <w:rPr>
            <w:rStyle w:val="Hyperlink"/>
            <w:bCs/>
            <w:b/>
          </w:rPr>
          <w:t xml:space="preserve">Machowski2020?</w:t>
        </w:r>
      </w:hyperlink>
      <w:r>
        <w:t xml:space="preserve">;</w:t>
      </w:r>
      <w:r>
        <w:t xml:space="preserve"> </w:t>
      </w:r>
      <w:hyperlink w:anchor="ref-Ela2011">
        <w:r>
          <w:rPr>
            <w:rStyle w:val="Hyperlink"/>
            <w:bCs/>
            <w:b/>
          </w:rPr>
          <w:t xml:space="preserve">Ela2011?</w:t>
        </w:r>
      </w:hyperlink>
      <w:r>
        <w:t xml:space="preserve">)</w:t>
      </w:r>
      <w:r>
        <w:t xml:space="preserve">. To minimise ACE and return the</w:t>
      </w:r>
      <w:r>
        <w:t xml:space="preserve"> </w:t>
      </w:r>
      <w:r>
        <w:t xml:space="preserve">power system to its nominal frequency, the AGC sends signals to SFC</w:t>
      </w:r>
      <w:r>
        <w:t xml:space="preserve"> </w:t>
      </w:r>
      <w:r>
        <w:t xml:space="preserve">units every 4 to 10 seconds to adjust their active power output in</w:t>
      </w:r>
      <w:r>
        <w:t xml:space="preserve"> </w:t>
      </w:r>
      <w:r>
        <w:t xml:space="preserve">response to a frequency deviation</w:t>
      </w:r>
      <w:r>
        <w:t xml:space="preserve"> </w:t>
      </w:r>
      <w:r>
        <w:t xml:space="preserve">(</w:t>
      </w:r>
      <w:hyperlink w:anchor="ref-Eto2018">
        <w:r>
          <w:rPr>
            <w:rStyle w:val="Hyperlink"/>
            <w:bCs/>
            <w:b/>
          </w:rPr>
          <w:t xml:space="preserve">Eto2018?</w:t>
        </w:r>
      </w:hyperlink>
      <w:r>
        <w:t xml:space="preserve">)</w:t>
      </w:r>
      <w:r>
        <w:t xml:space="preserve">. When used to respond to</w:t>
      </w:r>
      <w:r>
        <w:t xml:space="preserve"> </w:t>
      </w:r>
      <w:r>
        <w:t xml:space="preserve">smaller imbalance events, SFC is typically known as</w:t>
      </w:r>
      <w:r>
        <w:t xml:space="preserve"> </w:t>
      </w:r>
      <w:r>
        <w:rPr>
          <w:iCs/>
          <w:i/>
        </w:rPr>
        <w:t xml:space="preserve">regulation</w:t>
      </w:r>
      <w:r>
        <w:t xml:space="preserve"> </w:t>
      </w:r>
      <w:r>
        <w:t xml:space="preserve">(</w:t>
      </w:r>
      <w:hyperlink w:anchor="ref-Ela2011">
        <w:r>
          <w:rPr>
            <w:rStyle w:val="Hyperlink"/>
            <w:bCs/>
            <w:b/>
          </w:rPr>
          <w:t xml:space="preserve">Ela2011?</w:t>
        </w:r>
      </w:hyperlink>
      <w:r>
        <w:t xml:space="preserve">;</w:t>
      </w:r>
      <w:r>
        <w:t xml:space="preserve"> </w:t>
      </w:r>
      <w:hyperlink w:anchor="ref-Hewicker2020">
        <w:r>
          <w:rPr>
            <w:rStyle w:val="Hyperlink"/>
            <w:bCs/>
            <w:b/>
          </w:rPr>
          <w:t xml:space="preserve">Hewicker2020?</w:t>
        </w:r>
      </w:hyperlink>
      <w:r>
        <w:t xml:space="preserve">)</w:t>
      </w:r>
      <w:r>
        <w:t xml:space="preserve">.</w:t>
      </w:r>
    </w:p>
    <w:p>
      <w:pPr>
        <w:pStyle w:val="CaptionedFigure"/>
      </w:pPr>
      <w:r>
        <w:drawing>
          <wp:inline>
            <wp:extent cx="4000500" cy="3320845"/>
            <wp:effectExtent b="0" l="0" r="0" t="0"/>
            <wp:docPr descr="Behaviour of a synchronous generator with a turbine governor providing PFC and responding to SFC. L_0 is the initial droop characteristic. The generator is initially operating at point A with an active power output of P_{M0}. System frequency (and hence the synchronous sped of the turbine) decreases from \omega_0 to \omega_1 and the turbine governor responds by moving the turbine along the droop characteristic to point B, thus increasing its active power output to P_{M1}. Following this, SFC changes the reference speed setpoint of the governor, moving the droop characteristic to L_1 and returning the system to frequency \omega_0. Source: (Wang2003?)." title="" id="68" name="Picture"/>
            <a:graphic>
              <a:graphicData uri="http://schemas.openxmlformats.org/drawingml/2006/picture">
                <pic:pic>
                  <pic:nvPicPr>
                    <pic:cNvPr descr="source/figures/droop.png" id="69" name="Picture"/>
                    <pic:cNvPicPr>
                      <a:picLocks noChangeArrowheads="1" noChangeAspect="1"/>
                    </pic:cNvPicPr>
                  </pic:nvPicPr>
                  <pic:blipFill>
                    <a:blip r:embed="rId67"/>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4: Behaviour of a synchronous generator with a turbine governor providing</w:t>
      </w:r>
      <w:r>
        <w:t xml:space="preserve"> </w:t>
      </w:r>
      <w:r>
        <w:t xml:space="preserve">PFC and responding to SFC.</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SFC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p>
    <w:bookmarkEnd w:id="70"/>
    <w:bookmarkStart w:id="71" w:name="tertiary-frequency-control"/>
    <w:p>
      <w:pPr>
        <w:pStyle w:val="Heading3"/>
      </w:pPr>
      <w:r>
        <w:rPr>
          <w:rStyle w:val="SectionNumber"/>
        </w:rPr>
        <w:t xml:space="preserve">4.7.4</w:t>
      </w:r>
      <w:r>
        <w:tab/>
      </w:r>
      <w:r>
        <w:t xml:space="preserve">Tertiary frequency control</w:t>
      </w:r>
    </w:p>
    <w:p>
      <w:pPr>
        <w:pStyle w:val="FirstParagraph"/>
      </w:pPr>
      <w:r>
        <w:t xml:space="preserve">Tertiary frequency control (TFC) is intended to replace PFC and SFC. TFC</w:t>
      </w:r>
      <w:r>
        <w:t xml:space="preserve"> </w:t>
      </w:r>
      <w:r>
        <w:t xml:space="preserve">is typically used as a margin of safety in systems where relatively</w:t>
      </w:r>
      <w:r>
        <w:t xml:space="preserve"> </w:t>
      </w:r>
      <w:r>
        <w:t xml:space="preserve">infrequent unit commitment or rescheduling processes may be required to</w:t>
      </w:r>
      <w:r>
        <w:t xml:space="preserve"> </w:t>
      </w:r>
      <w:r>
        <w:t xml:space="preserve">correct an active power imbalance</w:t>
      </w:r>
      <w:r>
        <w:t xml:space="preserve"> </w:t>
      </w:r>
      <w:r>
        <w:t xml:space="preserve">(</w:t>
      </w:r>
      <w:hyperlink w:anchor="ref-Hewicker2020">
        <w:r>
          <w:rPr>
            <w:rStyle w:val="Hyperlink"/>
            <w:bCs/>
            <w:b/>
          </w:rPr>
          <w:t xml:space="preserve">Hewicker2020?</w:t>
        </w:r>
      </w:hyperlink>
      <w:r>
        <w:t xml:space="preserve">)</w:t>
      </w:r>
      <w:r>
        <w:t xml:space="preserve">. Some systems, such as</w:t>
      </w:r>
      <w:r>
        <w:t xml:space="preserve"> </w:t>
      </w:r>
      <w:r>
        <w:t xml:space="preserve">the NEM, do not procure TFR and instead rely solely upon a SCED that is</w:t>
      </w:r>
      <w:r>
        <w:t xml:space="preserve"> </w:t>
      </w:r>
      <w:r>
        <w:t xml:space="preserve">frequently executed</w:t>
      </w:r>
      <w:r>
        <w:t xml:space="preserve"> </w:t>
      </w:r>
      <w:r>
        <w:t xml:space="preserve">(</w:t>
      </w:r>
      <w:hyperlink w:anchor="ref-Billimoria2020">
        <w:r>
          <w:rPr>
            <w:rStyle w:val="Hyperlink"/>
            <w:bCs/>
            <w:b/>
          </w:rPr>
          <w:t xml:space="preserve">Billimoria2020?</w:t>
        </w:r>
      </w:hyperlink>
      <w:r>
        <w:t xml:space="preserve">)</w:t>
      </w:r>
      <w:r>
        <w:t xml:space="preserve">.</w:t>
      </w:r>
    </w:p>
    <w:bookmarkEnd w:id="71"/>
    <w:bookmarkStart w:id="74" w:name="dispatch-and-unit-commitment"/>
    <w:p>
      <w:pPr>
        <w:pStyle w:val="Heading3"/>
      </w:pPr>
      <w:r>
        <w:rPr>
          <w:rStyle w:val="SectionNumber"/>
        </w:rPr>
        <w:t xml:space="preserve">4.7.5</w:t>
      </w:r>
      <w:r>
        <w:tab/>
      </w:r>
      <w:r>
        <w:t xml:space="preserve">Dispatch and unit commitment</w:t>
      </w:r>
    </w:p>
    <w:bookmarkStart w:id="72" w:name="security-constrained-economic-dispatch"/>
    <w:p>
      <w:pPr>
        <w:pStyle w:val="Heading4"/>
      </w:pPr>
      <w:r>
        <w:rPr>
          <w:rStyle w:val="SectionNumber"/>
        </w:rPr>
        <w:t xml:space="preserve">4.7.5.1</w:t>
      </w:r>
      <w:r>
        <w:tab/>
      </w:r>
      <w:r>
        <w:t xml:space="preserve">Security-constrained economic dispatch</w:t>
      </w:r>
    </w:p>
    <w:p>
      <w:pPr>
        <w:pStyle w:val="FirstParagraph"/>
      </w:pPr>
      <w:r>
        <w:t xml:space="preserve">SCED aims to determine the minimum cost operating configuration for</w:t>
      </w:r>
      <w:r>
        <w:t xml:space="preserve"> </w:t>
      </w:r>
      <w:r>
        <w:t xml:space="preserve">committed generation such that a short-term forecast or actual demand</w:t>
      </w:r>
      <w:r>
        <w:t xml:space="preserve"> </w:t>
      </w:r>
      <w:r>
        <w:t xml:space="preserve">can be met subject to subject to network constraints and stability and</w:t>
      </w:r>
      <w:r>
        <w:t xml:space="preserve"> </w:t>
      </w:r>
      <w:r>
        <w:t xml:space="preserve">reliability requirements</w:t>
      </w:r>
      <w:r>
        <w:t xml:space="preserve"> </w:t>
      </w:r>
      <w:r>
        <w:t xml:space="preserve">(</w:t>
      </w:r>
      <w:hyperlink w:anchor="ref-Grainger1994">
        <w:r>
          <w:rPr>
            <w:rStyle w:val="Hyperlink"/>
            <w:bCs/>
            <w:b/>
          </w:rPr>
          <w:t xml:space="preserve">Grainger1994?</w:t>
        </w:r>
      </w:hyperlink>
      <w:r>
        <w:t xml:space="preserve">;</w:t>
      </w:r>
      <w:r>
        <w:t xml:space="preserve"> </w:t>
      </w:r>
      <w:hyperlink w:anchor="ref-Wood2014">
        <w:r>
          <w:rPr>
            <w:rStyle w:val="Hyperlink"/>
            <w:bCs/>
            <w:b/>
          </w:rPr>
          <w:t xml:space="preserve">Wood2014?</w:t>
        </w:r>
      </w:hyperlink>
      <w:r>
        <w:t xml:space="preserve">)</w:t>
      </w:r>
      <w:r>
        <w:t xml:space="preserve">. As generators</w:t>
      </w:r>
      <w:r>
        <w:t xml:space="preserve"> </w:t>
      </w:r>
      <w:r>
        <w:t xml:space="preserve">typically submit offers for generation (and in some cases, frequency</w:t>
      </w:r>
      <w:r>
        <w:t xml:space="preserve"> </w:t>
      </w:r>
      <w:r>
        <w:t xml:space="preserve">control) as piecewise linear cost functions, the SCED problem is less</w:t>
      </w:r>
      <w:r>
        <w:t xml:space="preserve"> </w:t>
      </w:r>
      <w:r>
        <w:t xml:space="preserve">computationally complex than SCUC and can be solved using linear</w:t>
      </w:r>
      <w:r>
        <w:t xml:space="preserve"> </w:t>
      </w:r>
      <w:r>
        <w:t xml:space="preserve">programming techniques</w:t>
      </w:r>
      <w:r>
        <w:t xml:space="preserve"> </w:t>
      </w:r>
      <w:r>
        <w:t xml:space="preserve">(</w:t>
      </w:r>
      <w:hyperlink w:anchor="ref-Wood2014">
        <w:r>
          <w:rPr>
            <w:rStyle w:val="Hyperlink"/>
            <w:bCs/>
            <w:b/>
          </w:rPr>
          <w:t xml:space="preserve">Wood2014?</w:t>
        </w:r>
      </w:hyperlink>
      <w:r>
        <w:t xml:space="preserve">)</w:t>
      </w:r>
      <w:r>
        <w:t xml:space="preserve">. For a given real-time market</w:t>
      </w:r>
      <w:r>
        <w:t xml:space="preserve"> </w:t>
      </w:r>
      <w:r>
        <w:t xml:space="preserve">interval, SCED produces a set of physically and financially binding</w:t>
      </w:r>
      <w:r>
        <w:t xml:space="preserve"> </w:t>
      </w:r>
      <w:r>
        <w:t xml:space="preserve">dispatch instructions, which include generation setpoints and enablement</w:t>
      </w:r>
      <w:r>
        <w:t xml:space="preserve"> </w:t>
      </w:r>
      <w:r>
        <w:t xml:space="preserve">for frequency control services, and locational marginal prices for</w:t>
      </w:r>
      <w:r>
        <w:t xml:space="preserve"> </w:t>
      </w:r>
      <w:r>
        <w:t xml:space="preserve">energy and frequency control services</w:t>
      </w:r>
      <w:r>
        <w:t xml:space="preserve"> </w:t>
      </w:r>
      <w:r>
        <w:t xml:space="preserve">(</w:t>
      </w:r>
      <w:hyperlink w:anchor="ref-Cramton2017">
        <w:r>
          <w:rPr>
            <w:rStyle w:val="Hyperlink"/>
            <w:bCs/>
            <w:b/>
          </w:rPr>
          <w:t xml:space="preserve">Cramton2017?</w:t>
        </w:r>
      </w:hyperlink>
      <w:r>
        <w:t xml:space="preserve">)</w:t>
      </w:r>
      <w:r>
        <w:t xml:space="preserve">. In multi-platform</w:t>
      </w:r>
      <w:r>
        <w:t xml:space="preserve"> </w:t>
      </w:r>
      <w:r>
        <w:t xml:space="preserve">markets such as the ISO/RTO markets, SCED is considered a sub-problem of</w:t>
      </w:r>
      <w:r>
        <w:t xml:space="preserve"> </w:t>
      </w:r>
      <w:r>
        <w:t xml:space="preserve">unit commitment and is run for every real-time market interval ( 5-15</w:t>
      </w:r>
      <w:r>
        <w:t xml:space="preserve"> </w:t>
      </w:r>
      <w:r>
        <w:t xml:space="preserve">minutes)</w:t>
      </w:r>
      <w:r>
        <w:t xml:space="preserve"> </w:t>
      </w:r>
      <w:r>
        <w:t xml:space="preserve">(</w:t>
      </w:r>
      <w:hyperlink w:anchor="ref-Wood2014">
        <w:r>
          <w:rPr>
            <w:rStyle w:val="Hyperlink"/>
            <w:bCs/>
            <w:b/>
          </w:rPr>
          <w:t xml:space="preserve">Wood2014?</w:t>
        </w:r>
      </w:hyperlink>
      <w:r>
        <w:t xml:space="preserve">;</w:t>
      </w:r>
      <w:r>
        <w:t xml:space="preserve"> </w:t>
      </w:r>
      <w:hyperlink w:anchor="Xd11bffbf5d3f1649926188c421055c9fe514a8b">
        <w:r>
          <w:rPr>
            <w:rStyle w:val="Hyperlink"/>
            <w:bCs/>
            <w:b/>
          </w:rPr>
          <w:t xml:space="preserve">InternationalRenewableEnergyAgency2019?</w:t>
        </w:r>
      </w:hyperlink>
      <w:r>
        <w:t xml:space="preserve">)</w:t>
      </w:r>
      <w:r>
        <w:t xml:space="preserve">. In</w:t>
      </w:r>
      <w:r>
        <w:t xml:space="preserve"> </w:t>
      </w:r>
      <w:r>
        <w:t xml:space="preserve">single-platform markets, such as the NEM, market participants manage</w:t>
      </w:r>
      <w:r>
        <w:t xml:space="preserve"> </w:t>
      </w:r>
      <w:r>
        <w:t xml:space="preserve">their own unit commitment and SCED is the only market process that</w:t>
      </w:r>
      <w:r>
        <w:t xml:space="preserve"> </w:t>
      </w:r>
      <w:r>
        <w:t xml:space="preserve">produces a binding schedule</w:t>
      </w:r>
      <w:r>
        <w:t xml:space="preserve"> </w:t>
      </w:r>
      <w:r>
        <w:t xml:space="preserve">(</w:t>
      </w:r>
      <w:hyperlink w:anchor="ref-AustralianEnergyRegulator2016">
        <w:r>
          <w:rPr>
            <w:rStyle w:val="Hyperlink"/>
            <w:bCs/>
            <w:b/>
          </w:rPr>
          <w:t xml:space="preserve">AustralianEnergyRegulator2016?</w:t>
        </w:r>
      </w:hyperlink>
      <w:r>
        <w:t xml:space="preserve">)</w:t>
      </w:r>
      <w:r>
        <w:t xml:space="preserve">.</w:t>
      </w:r>
    </w:p>
    <w:bookmarkEnd w:id="72"/>
    <w:bookmarkStart w:id="73" w:name="security-constrained-unit-commitment"/>
    <w:p>
      <w:pPr>
        <w:pStyle w:val="Heading4"/>
      </w:pPr>
      <w:r>
        <w:rPr>
          <w:rStyle w:val="SectionNumber"/>
        </w:rPr>
        <w:t xml:space="preserve">4.7.5.2</w:t>
      </w:r>
      <w:r>
        <w:tab/>
      </w:r>
      <w:r>
        <w:t xml:space="preserve">Security-constrained unit commitment</w:t>
      </w:r>
    </w:p>
    <w:p>
      <w:pPr>
        <w:pStyle w:val="FirstParagraph"/>
      </w:pPr>
      <w:r>
        <w:t xml:space="preserve">The aim of SCUC is to determine the minimum cost subset of generation</w:t>
      </w:r>
      <w:r>
        <w:t xml:space="preserve"> </w:t>
      </w:r>
      <w:r>
        <w:t xml:space="preserve">that should be committed (i.e. synchronised and ready to deliver power</w:t>
      </w:r>
      <w:r>
        <w:t xml:space="preserve"> </w:t>
      </w:r>
      <w:r>
        <w:t xml:space="preserve">to the power system) to meet a demand forecast for a set of future</w:t>
      </w:r>
      <w:r>
        <w:t xml:space="preserve"> </w:t>
      </w:r>
      <w:r>
        <w:t xml:space="preserve">market intervals subject to network constraints and stability and</w:t>
      </w:r>
      <w:r>
        <w:t xml:space="preserve"> </w:t>
      </w:r>
      <w:r>
        <w:t xml:space="preserve">reliability requirements</w:t>
      </w:r>
      <w:r>
        <w:t xml:space="preserve"> </w:t>
      </w:r>
      <w:r>
        <w:t xml:space="preserve">(</w:t>
      </w:r>
      <w:hyperlink w:anchor="ref-Wood2014">
        <w:r>
          <w:rPr>
            <w:rStyle w:val="Hyperlink"/>
            <w:bCs/>
            <w:b/>
          </w:rPr>
          <w:t xml:space="preserve">Wood2014?</w:t>
        </w:r>
      </w:hyperlink>
      <w:r>
        <w:t xml:space="preserve">)</w:t>
      </w:r>
      <w:r>
        <w:t xml:space="preserve">. SCUC is a computationally complex</w:t>
      </w:r>
      <w:r>
        <w:t xml:space="preserve"> </w:t>
      </w:r>
      <w:r>
        <w:t xml:space="preserve">non-linear problem in many electricity markets because it considers</w:t>
      </w:r>
      <w:r>
        <w:t xml:space="preserve"> </w:t>
      </w:r>
      <w:r>
        <w:t xml:space="preserve">non-convexities such as start-up costs and minimum operating costs in</w:t>
      </w:r>
      <w:r>
        <w:t xml:space="preserve"> </w:t>
      </w:r>
      <w:r>
        <w:t xml:space="preserve">addition to an offer for energy</w:t>
      </w:r>
      <w:r>
        <w:t xml:space="preserve"> </w:t>
      </w:r>
      <w:r>
        <w:t xml:space="preserve">(</w:t>
      </w:r>
      <w:hyperlink w:anchor="ref-Cramton2017">
        <w:r>
          <w:rPr>
            <w:rStyle w:val="Hyperlink"/>
            <w:bCs/>
            <w:b/>
          </w:rPr>
          <w:t xml:space="preserve">Cramton2017?</w:t>
        </w:r>
      </w:hyperlink>
      <w:r>
        <w:t xml:space="preserve">;</w:t>
      </w:r>
      <w:r>
        <w:t xml:space="preserve"> </w:t>
      </w:r>
      <w:hyperlink w:anchor="ref-Isemonger2009">
        <w:r>
          <w:rPr>
            <w:rStyle w:val="Hyperlink"/>
            <w:bCs/>
            <w:b/>
          </w:rPr>
          <w:t xml:space="preserve">Isemonger2009?</w:t>
        </w:r>
      </w:hyperlink>
      <w:r>
        <w:t xml:space="preserve">)</w:t>
      </w:r>
      <w:r>
        <w:t xml:space="preserve">. The</w:t>
      </w:r>
      <w:r>
        <w:t xml:space="preserve"> </w:t>
      </w:r>
      <w:r>
        <w:t xml:space="preserve">outcomes of solving this problem are an ahead schedule, which is often</w:t>
      </w:r>
      <w:r>
        <w:t xml:space="preserve"> </w:t>
      </w:r>
      <w:r>
        <w:t xml:space="preserve">only financially binding, and locational marginal prices for energy and</w:t>
      </w:r>
      <w:r>
        <w:t xml:space="preserve"> </w:t>
      </w:r>
      <w:r>
        <w:t xml:space="preserve">frequency control services for a future set of market intervals, such as</w:t>
      </w:r>
      <w:r>
        <w:t xml:space="preserve"> </w:t>
      </w:r>
      <w:r>
        <w:t xml:space="preserve">the next day when SCUC is executed in day-ahead markets. SCUC can be</w:t>
      </w:r>
      <w:r>
        <w:t xml:space="preserve"> </w:t>
      </w:r>
      <w:r>
        <w:t xml:space="preserve">beneficial for market participants that wish to hedge their production</w:t>
      </w:r>
      <w:r>
        <w:t xml:space="preserve"> </w:t>
      </w:r>
      <w:r>
        <w:t xml:space="preserve">or consumption</w:t>
      </w:r>
      <w:r>
        <w:t xml:space="preserve"> </w:t>
      </w:r>
      <w:r>
        <w:t xml:space="preserve">(</w:t>
      </w:r>
      <w:hyperlink w:anchor="ref-Isemonger2006">
        <w:r>
          <w:rPr>
            <w:rStyle w:val="Hyperlink"/>
            <w:bCs/>
            <w:b/>
          </w:rPr>
          <w:t xml:space="preserve">Isemonger2006?</w:t>
        </w:r>
      </w:hyperlink>
      <w:r>
        <w:t xml:space="preserve">)</w:t>
      </w:r>
      <w:r>
        <w:t xml:space="preserve">. Furthermore, it offers certainty around</w:t>
      </w:r>
      <w:r>
        <w:t xml:space="preserve"> </w:t>
      </w:r>
      <w:r>
        <w:t xml:space="preserve">power system outcomes to the system operator, and around market outcomes</w:t>
      </w:r>
      <w:r>
        <w:t xml:space="preserve"> </w:t>
      </w:r>
      <w:r>
        <w:t xml:space="preserve">to generators that have long lead times and significant costs associated</w:t>
      </w:r>
      <w:r>
        <w:t xml:space="preserve"> </w:t>
      </w:r>
      <w:r>
        <w:t xml:space="preserve">with commitment (e.g. baseload coal power plant) or generators that</w:t>
      </w:r>
      <w:r>
        <w:t xml:space="preserve"> </w:t>
      </w:r>
      <w:r>
        <w:t xml:space="preserve">primarily consider opportunity costs, rather than marginal costs, when</w:t>
      </w:r>
      <w:r>
        <w:t xml:space="preserve"> </w:t>
      </w:r>
      <w:r>
        <w:t xml:space="preserve">determining whether it is profitable to provide energy (e.g.</w:t>
      </w:r>
      <w:r>
        <w:t xml:space="preserve"> </w:t>
      </w:r>
      <w:r>
        <w:t xml:space="preserve">hydroelectric power plants, battery energy storage systems)</w:t>
      </w:r>
      <w:r>
        <w:t xml:space="preserve"> </w:t>
      </w:r>
      <w:r>
        <w:t xml:space="preserve">(</w:t>
      </w:r>
      <w:hyperlink w:anchor="ref-Wood2014">
        <w:r>
          <w:rPr>
            <w:rStyle w:val="Hyperlink"/>
            <w:bCs/>
            <w:b/>
          </w:rPr>
          <w:t xml:space="preserve">Wood2014?</w:t>
        </w:r>
      </w:hyperlink>
      <w:r>
        <w:t xml:space="preserve">;</w:t>
      </w:r>
      <w:r>
        <w:t xml:space="preserve"> </w:t>
      </w:r>
      <w:hyperlink w:anchor="ref-Cadwalader1998ReliabilityPricing">
        <w:r>
          <w:rPr>
            <w:rStyle w:val="Hyperlink"/>
            <w:bCs/>
            <w:b/>
          </w:rPr>
          <w:t xml:space="preserve">Cadwalader1998ReliabilityPricing?</w:t>
        </w:r>
      </w:hyperlink>
      <w:r>
        <w:t xml:space="preserve">)</w:t>
      </w:r>
      <w:r>
        <w:t xml:space="preserve">.</w:t>
      </w:r>
    </w:p>
    <w:bookmarkEnd w:id="73"/>
    <w:bookmarkEnd w:id="74"/>
    <w:bookmarkStart w:id="75" w:name="longer-term-scheduling"/>
    <w:p>
      <w:pPr>
        <w:pStyle w:val="Heading3"/>
      </w:pPr>
      <w:r>
        <w:rPr>
          <w:rStyle w:val="SectionNumber"/>
        </w:rPr>
        <w:t xml:space="preserve">4.7.6</w:t>
      </w:r>
      <w:r>
        <w:tab/>
      </w:r>
      <w:r>
        <w:t xml:space="preserve">Longer-term scheduling</w:t>
      </w:r>
    </w:p>
    <w:bookmarkEnd w:id="75"/>
    <w:bookmarkEnd w:id="76"/>
    <w:bookmarkStart w:id="83" w:name="Xc40eb65a9cff186629276bb22ad433b565a69b9"/>
    <w:p>
      <w:pPr>
        <w:pStyle w:val="Heading2"/>
      </w:pPr>
      <w:r>
        <w:rPr>
          <w:rStyle w:val="SectionNumber"/>
        </w:rPr>
        <w:t xml:space="preserve">4.8</w:t>
      </w:r>
      <w:r>
        <w:tab/>
      </w:r>
      <w:r>
        <w:t xml:space="preserve">Emerging challenges in power system operations</w:t>
      </w:r>
    </w:p>
    <w:bookmarkStart w:id="77" w:name="sec:ibr_freq"/>
    <w:p>
      <w:pPr>
        <w:pStyle w:val="Heading3"/>
      </w:pPr>
      <w:r>
        <w:rPr>
          <w:rStyle w:val="SectionNumber"/>
        </w:rPr>
        <w:t xml:space="preserve">4.8.1</w:t>
      </w:r>
      <w:r>
        <w:tab/>
      </w:r>
      <w:r>
        <w:t xml:space="preserve">Inverter-based resources and frequency control</w:t>
      </w:r>
    </w:p>
    <w:p>
      <w:pPr>
        <w:pStyle w:val="FirstParagraph"/>
      </w:pPr>
      <w:r>
        <w:t xml:space="preserve">Inverter-based resources (IBR) include variable IBR (solar PV and Type</w:t>
      </w:r>
      <w:r>
        <w:t xml:space="preserve"> </w:t>
      </w:r>
      <w:r>
        <w:t xml:space="preserve">III and Type IV wind turbines</w:t>
      </w:r>
      <w:r>
        <w:t xml:space="preserve"> </w:t>
      </w:r>
      <w:r>
        <w:t xml:space="preserve">(</w:t>
      </w:r>
      <w:hyperlink w:anchor="ref-Wu2018">
        <w:r>
          <w:rPr>
            <w:rStyle w:val="Hyperlink"/>
            <w:bCs/>
            <w:b/>
          </w:rPr>
          <w:t xml:space="preserve">Wu2018?</w:t>
        </w:r>
      </w:hyperlink>
      <w:r>
        <w:t xml:space="preserve">)</w:t>
      </w:r>
      <w:r>
        <w:t xml:space="preserve">), BESS and high voltage direct</w:t>
      </w:r>
      <w:r>
        <w:t xml:space="preserve"> </w:t>
      </w:r>
      <w:r>
        <w:t xml:space="preserve">current (HVDC) links that connect to a power system through power</w:t>
      </w:r>
      <w:r>
        <w:t xml:space="preserve"> </w:t>
      </w:r>
      <w:r>
        <w:t xml:space="preserve">electronic devices. The impacts of variable IBR on frequency control are</w:t>
      </w:r>
      <w:r>
        <w:t xml:space="preserve"> </w:t>
      </w:r>
      <w:r>
        <w:t xml:space="preserve">of particular interest to system operators and market designers as many</w:t>
      </w:r>
      <w:r>
        <w:t xml:space="preserve"> </w:t>
      </w:r>
      <w:r>
        <w:t xml:space="preserve">power systems are currently experiencing high instantaneous penetrations</w:t>
      </w:r>
      <w:r>
        <w:t xml:space="preserve"> </w:t>
      </w:r>
      <w:r>
        <w:t xml:space="preserve">of variable IBR (in excess of 50%) and because many more are expected to</w:t>
      </w:r>
      <w:r>
        <w:t xml:space="preserve"> </w:t>
      </w:r>
      <w:r>
        <w:t xml:space="preserve">do so in the future</w:t>
      </w:r>
      <w:r>
        <w:t xml:space="preserve"> </w:t>
      </w:r>
      <w:r>
        <w:t xml:space="preserve">(</w:t>
      </w:r>
      <w:hyperlink w:anchor="ref-AustralianEnergyMarketOperator2019">
        <w:r>
          <w:rPr>
            <w:rStyle w:val="Hyperlink"/>
            <w:bCs/>
            <w:b/>
          </w:rPr>
          <w:t xml:space="preserve">AustralianEnergyMarketOperator2019?</w:t>
        </w:r>
      </w:hyperlink>
      <w:r>
        <w:t xml:space="preserve">;</w:t>
      </w:r>
      <w:r>
        <w:t xml:space="preserve"> </w:t>
      </w:r>
      <w:hyperlink w:anchor="ref-IRENA2020">
        <w:r>
          <w:rPr>
            <w:rStyle w:val="Hyperlink"/>
            <w:bCs/>
            <w:b/>
          </w:rPr>
          <w:t xml:space="preserve">IRENA2020?</w:t>
        </w:r>
      </w:hyperlink>
      <w:r>
        <w:t xml:space="preserve">)</w:t>
      </w:r>
      <w:r>
        <w:t xml:space="preserve">.</w:t>
      </w:r>
    </w:p>
    <w:bookmarkEnd w:id="77"/>
    <w:bookmarkStart w:id="80" w:name="X43caa0f18789abf8aa56aef9c06b5a1b7c016ce"/>
    <w:p>
      <w:pPr>
        <w:pStyle w:val="Heading3"/>
      </w:pPr>
      <w:r>
        <w:rPr>
          <w:rStyle w:val="SectionNumber"/>
        </w:rPr>
        <w:t xml:space="preserve">4.8.2</w:t>
      </w:r>
      <w:r>
        <w:tab/>
      </w:r>
      <w:r>
        <w:t xml:space="preserve">Challenges posed by inverter-based resources</w:t>
      </w:r>
    </w:p>
    <w:p>
      <w:pPr>
        <w:pStyle w:val="FirstParagraph"/>
      </w:pPr>
      <w:r>
        <w:t xml:space="preserve">High penetrations of IBR in power systems pose challenges to frequency</w:t>
      </w:r>
      <w:r>
        <w:t xml:space="preserve"> </w:t>
      </w:r>
      <w:r>
        <w:t xml:space="preserve">control due to their characteristics, particularly in islanded power</w:t>
      </w:r>
      <w:r>
        <w:t xml:space="preserve"> </w:t>
      </w:r>
      <w:r>
        <w:t xml:space="preserve">systems or weakly-interconnected control areas that cannot rely on a</w:t>
      </w:r>
      <w:r>
        <w:t xml:space="preserve"> </w:t>
      </w:r>
      <w:r>
        <w:t xml:space="preserve">wider synchronous area for frequency control services</w:t>
      </w:r>
      <w:r>
        <w:t xml:space="preserve"> </w:t>
      </w:r>
      <w:r>
        <w:t xml:space="preserve">(</w:t>
      </w:r>
      <w:hyperlink w:anchor="ref-Hodge2020">
        <w:r>
          <w:rPr>
            <w:rStyle w:val="Hyperlink"/>
            <w:bCs/>
            <w:b/>
          </w:rPr>
          <w:t xml:space="preserve">Hodge2020?</w:t>
        </w:r>
      </w:hyperlink>
      <w:r>
        <w:t xml:space="preserve">)</w:t>
      </w:r>
      <w:r>
        <w:t xml:space="preserve">.</w:t>
      </w:r>
      <w:r>
        <w:t xml:space="preserve"> </w:t>
      </w:r>
      <w:r>
        <w:t xml:space="preserve">These include</w:t>
      </w:r>
      <w:r>
        <w:t xml:space="preserve"> </w:t>
      </w:r>
      <w:r>
        <w:t xml:space="preserve">(</w:t>
      </w:r>
      <w:hyperlink w:anchor="ref-Kroposki2019">
        <w:r>
          <w:rPr>
            <w:rStyle w:val="Hyperlink"/>
            <w:bCs/>
            <w:b/>
          </w:rPr>
          <w:t xml:space="preserve">Kroposki2019?</w:t>
        </w:r>
      </w:hyperlink>
      <w:r>
        <w:t xml:space="preserve">)</w:t>
      </w:r>
      <w:r>
        <w:t xml:space="preserve">:</w:t>
      </w:r>
    </w:p>
    <w:bookmarkStart w:id="78" w:name="interface-to-power-system"/>
    <w:p>
      <w:pPr>
        <w:pStyle w:val="Heading4"/>
      </w:pPr>
      <w:r>
        <w:rPr>
          <w:rStyle w:val="SectionNumber"/>
        </w:rPr>
        <w:t xml:space="preserve">4.8.2.1</w:t>
      </w:r>
      <w:r>
        <w:tab/>
      </w:r>
      <w:r>
        <w:t xml:space="preserve">Interface to power system</w:t>
      </w:r>
    </w:p>
    <w:p>
      <w:pPr>
        <w:pStyle w:val="FirstParagraph"/>
      </w:pPr>
      <w:r>
        <w:t xml:space="preserve">As IBR interface to a synchronous area through inverters, they are not</w:t>
      </w:r>
      <w:r>
        <w:t xml:space="preserve"> </w:t>
      </w:r>
      <w:r>
        <w:t xml:space="preserve">electromagnetically coupled to the power system and therefore do not</w:t>
      </w:r>
      <w:r>
        <w:t xml:space="preserve"> </w:t>
      </w:r>
      <w:r>
        <w:t xml:space="preserve">exhibit the inherent inertial response of synchronous generators. This</w:t>
      </w:r>
      <w:r>
        <w:t xml:space="preserve"> </w:t>
      </w:r>
      <w:r>
        <w:t xml:space="preserve">has two main implications. The first is that reduced inertial response</w:t>
      </w:r>
      <w:r>
        <w:t xml:space="preserve"> </w:t>
      </w:r>
      <w:r>
        <w:t xml:space="preserve">may affect power system stability during transients (e.g. rotor angle</w:t>
      </w:r>
      <w:r>
        <w:t xml:space="preserve"> </w:t>
      </w:r>
      <w:r>
        <w:t xml:space="preserve">stability)</w:t>
      </w:r>
      <w:r>
        <w:t xml:space="preserve"> </w:t>
      </w:r>
      <w:r>
        <w:t xml:space="preserve">(</w:t>
      </w:r>
      <w:hyperlink w:anchor="ref-Tielens2016">
        <w:r>
          <w:rPr>
            <w:rStyle w:val="Hyperlink"/>
            <w:bCs/>
            <w:b/>
          </w:rPr>
          <w:t xml:space="preserve">Tielens2016?</w:t>
        </w:r>
      </w:hyperlink>
      <w:r>
        <w:t xml:space="preserve">)</w:t>
      </w:r>
      <w:r>
        <w:t xml:space="preserve">, and the second is that a lack of inertia in</w:t>
      </w:r>
      <w:r>
        <w:t xml:space="preserve"> </w:t>
      </w:r>
      <w:r>
        <w:t xml:space="preserve">the power system can lead to higher RoCoF and therefore more severe</w:t>
      </w:r>
      <w:r>
        <w:t xml:space="preserve"> </w:t>
      </w:r>
      <w:r>
        <w:t xml:space="preserve">frequency nadirs or zeniths and the tripping of emergency protection</w:t>
      </w:r>
      <w:r>
        <w:t xml:space="preserve"> </w:t>
      </w:r>
      <w:r>
        <w:t xml:space="preserve">schemes that would otherwise not occur in high inertia systems</w:t>
      </w:r>
      <w:r>
        <w:t xml:space="preserve"> </w:t>
      </w:r>
      <w:r>
        <w:t xml:space="preserve">(</w:t>
      </w:r>
      <w:hyperlink w:anchor="ref-Machowski2020">
        <w:r>
          <w:rPr>
            <w:rStyle w:val="Hyperlink"/>
            <w:bCs/>
            <w:b/>
          </w:rPr>
          <w:t xml:space="preserve">Machowski2020?</w:t>
        </w:r>
      </w:hyperlink>
      <w:r>
        <w:t xml:space="preserve">;</w:t>
      </w:r>
      <w:r>
        <w:t xml:space="preserve"> </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 </w:t>
      </w:r>
      <w:hyperlink w:anchor="ref-Dreidy2017">
        <w:r>
          <w:rPr>
            <w:rStyle w:val="Hyperlink"/>
            <w:bCs/>
            <w:b/>
          </w:rPr>
          <w:t xml:space="preserve">Dreidy2017?</w:t>
        </w:r>
      </w:hyperlink>
      <w:r>
        <w:t xml:space="preserve">)</w:t>
      </w:r>
      <w:r>
        <w:t xml:space="preserve">.</w:t>
      </w:r>
    </w:p>
    <w:bookmarkEnd w:id="78"/>
    <w:bookmarkStart w:id="79" w:name="variability-and-uncertainty"/>
    <w:p>
      <w:pPr>
        <w:pStyle w:val="Heading4"/>
      </w:pPr>
      <w:r>
        <w:rPr>
          <w:rStyle w:val="SectionNumber"/>
        </w:rPr>
        <w:t xml:space="preserve">4.8.2.2</w:t>
      </w:r>
      <w:r>
        <w:tab/>
      </w:r>
      <w:r>
        <w:t xml:space="preserve">Variability and uncertainty</w:t>
      </w:r>
    </w:p>
    <w:p>
      <w:pPr>
        <w:pStyle w:val="FirstParagraph"/>
      </w:pPr>
      <w:r>
        <w:t xml:space="preserve">The aggregate degree of power system variability and uncertainty is</w:t>
      </w:r>
      <w:r>
        <w:t xml:space="preserve"> </w:t>
      </w:r>
      <w:r>
        <w:t xml:space="preserve">likely to increase with higher penetrations of variable IBR</w:t>
      </w:r>
      <w:r>
        <w:t xml:space="preserve"> </w:t>
      </w:r>
      <w:r>
        <w:t xml:space="preserve">(</w:t>
      </w:r>
      <w:hyperlink w:anchor="ref-Riesz2015a">
        <w:r>
          <w:rPr>
            <w:rStyle w:val="Hyperlink"/>
            <w:bCs/>
            <w:b/>
          </w:rPr>
          <w:t xml:space="preserve">Riesz2015a?</w:t>
        </w:r>
      </w:hyperlink>
      <w:r>
        <w:t xml:space="preserve">;</w:t>
      </w:r>
      <w:r>
        <w:t xml:space="preserve"> </w:t>
      </w:r>
      <w:hyperlink w:anchor="ref-AustralianEnergyMarketOperator2020b">
        <w:r>
          <w:rPr>
            <w:rStyle w:val="Hyperlink"/>
            <w:bCs/>
            <w:b/>
          </w:rPr>
          <w:t xml:space="preserve">AustralianEnergyMarketOperator2020b?</w:t>
        </w:r>
      </w:hyperlink>
      <w:r>
        <w:t xml:space="preserve">)</w:t>
      </w:r>
      <w:r>
        <w:t xml:space="preserve">. Variability not</w:t>
      </w:r>
      <w:r>
        <w:t xml:space="preserve"> </w:t>
      </w:r>
      <w:r>
        <w:t xml:space="preserve">only encompasses active power output variability during a dispatch</w:t>
      </w:r>
      <w:r>
        <w:t xml:space="preserve"> </w:t>
      </w:r>
      <w:r>
        <w:t xml:space="preserve">interval, which depends on the primary energy source and plant location</w:t>
      </w:r>
      <w:r>
        <w:t xml:space="preserve"> </w:t>
      </w:r>
      <w:r>
        <w:t xml:space="preserve">and configuration, but also includes large ramps due to the correlated</w:t>
      </w:r>
      <w:r>
        <w:t xml:space="preserve"> </w:t>
      </w:r>
      <w:r>
        <w:t xml:space="preserve">active power output of variable IBR over longer timeframes</w:t>
      </w:r>
      <w:r>
        <w:t xml:space="preserve"> </w:t>
      </w:r>
      <w:r>
        <w:t xml:space="preserve">(</w:t>
      </w:r>
      <w:hyperlink w:anchor="ref-Keeratimahat2019a">
        <w:r>
          <w:rPr>
            <w:rStyle w:val="Hyperlink"/>
            <w:bCs/>
            <w:b/>
          </w:rPr>
          <w:t xml:space="preserve">Keeratimahat2019a?</w:t>
        </w:r>
      </w:hyperlink>
      <w:r>
        <w:t xml:space="preserve">;</w:t>
      </w:r>
      <w:r>
        <w:t xml:space="preserve"> </w:t>
      </w:r>
      <w:hyperlink w:anchor="ref-AustralianEnergyMarketOperator2020d">
        <w:r>
          <w:rPr>
            <w:rStyle w:val="Hyperlink"/>
            <w:bCs/>
            <w:b/>
          </w:rPr>
          <w:t xml:space="preserve">AustralianEnergyMarketOperator2020d?</w:t>
        </w:r>
      </w:hyperlink>
      <w:r>
        <w:t xml:space="preserve">)</w:t>
      </w:r>
      <w:r>
        <w:t xml:space="preserve">. Power system</w:t>
      </w:r>
      <w:r>
        <w:t xml:space="preserve"> </w:t>
      </w:r>
      <w:r>
        <w:t xml:space="preserve">uncertainty will depend on the accuracy of weather and generation</w:t>
      </w:r>
      <w:r>
        <w:t xml:space="preserve"> </w:t>
      </w:r>
      <w:r>
        <w:t xml:space="preserve">forecasting, generator reliability and may also be a function of the</w:t>
      </w:r>
      <w:r>
        <w:t xml:space="preserve"> </w:t>
      </w:r>
      <w:r>
        <w:t xml:space="preserve">degree of visibility and control a system operator has over IBR,</w:t>
      </w:r>
      <w:r>
        <w:t xml:space="preserve"> </w:t>
      </w:r>
      <w:r>
        <w:t xml:space="preserve">particularly distributed energy resources such as rooftop solar PV and</w:t>
      </w:r>
      <w:r>
        <w:t xml:space="preserve"> </w:t>
      </w:r>
      <w:r>
        <w:t xml:space="preserve">electric vehicles</w:t>
      </w:r>
      <w:r>
        <w:t xml:space="preserve"> </w:t>
      </w:r>
      <w:r>
        <w:t xml:space="preserve">(</w:t>
      </w:r>
      <w:hyperlink w:anchor="ref-AustralianEnergyMarketOperator2020d">
        <w:r>
          <w:rPr>
            <w:rStyle w:val="Hyperlink"/>
            <w:bCs/>
            <w:b/>
          </w:rPr>
          <w:t xml:space="preserve">AustralianEnergyMarketOperator2020d?</w:t>
        </w:r>
      </w:hyperlink>
      <w:r>
        <w:t xml:space="preserve">;</w:t>
      </w:r>
      <w:r>
        <w:t xml:space="preserve"> </w:t>
      </w:r>
      <w:hyperlink w:anchor="ref-Wurth2019">
        <w:r>
          <w:rPr>
            <w:rStyle w:val="Hyperlink"/>
            <w:bCs/>
            <w:b/>
          </w:rPr>
          <w:t xml:space="preserve">Wurth2019?</w:t>
        </w:r>
      </w:hyperlink>
      <w:r>
        <w:t xml:space="preserve">;</w:t>
      </w:r>
      <w:r>
        <w:t xml:space="preserve"> </w:t>
      </w:r>
      <w:hyperlink w:anchor="ref-AustralianEnergyMarketOperator2020m">
        <w:r>
          <w:rPr>
            <w:rStyle w:val="Hyperlink"/>
            <w:bCs/>
            <w:b/>
          </w:rPr>
          <w:t xml:space="preserve">AustralianEnergyMarketOperator2020m?</w:t>
        </w:r>
      </w:hyperlink>
      <w:r>
        <w:t xml:space="preserve">)</w:t>
      </w:r>
      <w:r>
        <w:t xml:space="preserve">.</w:t>
      </w:r>
    </w:p>
    <w:bookmarkEnd w:id="79"/>
    <w:bookmarkEnd w:id="80"/>
    <w:bookmarkStart w:id="82" w:name="provision-of-frequency-control-services"/>
    <w:p>
      <w:pPr>
        <w:pStyle w:val="Heading3"/>
      </w:pPr>
      <w:r>
        <w:rPr>
          <w:rStyle w:val="SectionNumber"/>
        </w:rPr>
        <w:t xml:space="preserve">4.8.3</w:t>
      </w:r>
      <w:r>
        <w:tab/>
      </w:r>
      <w:r>
        <w:t xml:space="preserve">Provision of frequency control services</w:t>
      </w:r>
    </w:p>
    <w:p>
      <w:pPr>
        <w:pStyle w:val="FirstParagraph"/>
      </w:pPr>
      <w:r>
        <w:t xml:space="preserve">The presence of synchronous machines and grid-following inverters makes</w:t>
      </w:r>
      <w:r>
        <w:t xml:space="preserve"> </w:t>
      </w:r>
      <w:r>
        <w:t xml:space="preserve">inertial response and frequency control necessary for secure and stable</w:t>
      </w:r>
      <w:r>
        <w:t xml:space="preserve"> </w:t>
      </w:r>
      <w:r>
        <w:t xml:space="preserve">operation of a power system. At high instantaneous penetrations, low</w:t>
      </w:r>
      <w:r>
        <w:t xml:space="preserve"> </w:t>
      </w:r>
      <w:r>
        <w:t xml:space="preserve">short-run marginal cost IBR may displace synchronous generators that</w:t>
      </w:r>
      <w:r>
        <w:t xml:space="preserve"> </w:t>
      </w:r>
      <w:r>
        <w:t xml:space="preserve">have traditionally provided inertial response and frequency control</w:t>
      </w:r>
      <w:r>
        <w:t xml:space="preserve"> </w:t>
      </w:r>
      <w:r>
        <w:t xml:space="preserve">services, and the load damping response may be minimal</w:t>
      </w:r>
      <w:r>
        <w:t xml:space="preserve"> </w:t>
      </w:r>
      <w:r>
        <w:t xml:space="preserve">(</w:t>
      </w:r>
      <w:hyperlink w:anchor="ref-Riesz2015a">
        <w:r>
          <w:rPr>
            <w:rStyle w:val="Hyperlink"/>
            <w:bCs/>
            <w:b/>
          </w:rPr>
          <w:t xml:space="preserve">Riesz2015a?</w:t>
        </w:r>
      </w:hyperlink>
      <w:r>
        <w:t xml:space="preserve">;</w:t>
      </w:r>
      <w:r>
        <w:t xml:space="preserve"> </w:t>
      </w:r>
      <w:hyperlink w:anchor="ref-Tielens2012">
        <w:r>
          <w:rPr>
            <w:rStyle w:val="Hyperlink"/>
            <w:bCs/>
            <w:b/>
          </w:rPr>
          <w:t xml:space="preserve">Tielens2012?</w:t>
        </w:r>
      </w:hyperlink>
      <w:r>
        <w:t xml:space="preserve">)</w:t>
      </w:r>
      <w:r>
        <w:t xml:space="preserve">. In these cases, the instantaneous inertia</w:t>
      </w:r>
      <w:r>
        <w:t xml:space="preserve"> </w:t>
      </w:r>
      <w:r>
        <w:t xml:space="preserve">constant of the system may be low and IBR may be needed to assist in</w:t>
      </w:r>
      <w:r>
        <w:t xml:space="preserve"> </w:t>
      </w:r>
      <w:r>
        <w:t xml:space="preserve">frequency control</w:t>
      </w:r>
      <w:r>
        <w:t xml:space="preserve"> </w:t>
      </w:r>
      <w:r>
        <w:t xml:space="preserve">(</w:t>
      </w:r>
      <w:hyperlink w:anchor="ref-Hartmann2019">
        <w:r>
          <w:rPr>
            <w:rStyle w:val="Hyperlink"/>
            <w:bCs/>
            <w:b/>
          </w:rPr>
          <w:t xml:space="preserve">Hartmann2019?</w:t>
        </w:r>
      </w:hyperlink>
      <w:r>
        <w:t xml:space="preserve">;</w:t>
      </w:r>
      <w:r>
        <w:t xml:space="preserve"> </w:t>
      </w:r>
      <w:hyperlink w:anchor="ref-Tielens2012">
        <w:r>
          <w:rPr>
            <w:rStyle w:val="Hyperlink"/>
            <w:bCs/>
            <w:b/>
          </w:rPr>
          <w:t xml:space="preserve">Tielens2012?</w:t>
        </w:r>
      </w:hyperlink>
      <w:r>
        <w:t xml:space="preserve">)</w:t>
      </w:r>
      <w:r>
        <w:t xml:space="preserve">. Through their inverter</w:t>
      </w:r>
      <w:r>
        <w:t xml:space="preserve"> </w:t>
      </w:r>
      <w:r>
        <w:t xml:space="preserve">control system, IBR are able exercise rapid and precise control of their</w:t>
      </w:r>
      <w:r>
        <w:t xml:space="preserve"> </w:t>
      </w:r>
      <w:r>
        <w:t xml:space="preserve">active power, within the constraints of primary or stored energy, to</w:t>
      </w:r>
      <w:r>
        <w:t xml:space="preserve"> </w:t>
      </w:r>
      <w:r>
        <w:t xml:space="preserve">provide what is known as</w:t>
      </w:r>
      <w:r>
        <w:t xml:space="preserve"> </w:t>
      </w:r>
      <w:r>
        <w:rPr>
          <w:iCs/>
          <w:i/>
        </w:rPr>
        <w:t xml:space="preserve">fast frequency response</w:t>
      </w:r>
      <w:r>
        <w:t xml:space="preserve"> </w:t>
      </w:r>
      <w:r>
        <w:t xml:space="preserve">(FFR)</w:t>
      </w:r>
      <w:r>
        <w:t xml:space="preserve"> </w:t>
      </w:r>
      <w:r>
        <w:t xml:space="preserve">(</w:t>
      </w:r>
      <w:hyperlink w:anchor="ref-Machowski2020">
        <w:r>
          <w:rPr>
            <w:rStyle w:val="Hyperlink"/>
            <w:bCs/>
            <w:b/>
          </w:rPr>
          <w:t xml:space="preserve">Machowski2020?</w:t>
        </w:r>
      </w:hyperlink>
      <w:r>
        <w:t xml:space="preserve">;</w:t>
      </w:r>
      <w:r>
        <w:t xml:space="preserve"> </w:t>
      </w:r>
      <w:hyperlink w:anchor="ref-Hodge2020">
        <w:r>
          <w:rPr>
            <w:rStyle w:val="Hyperlink"/>
            <w:bCs/>
            <w:b/>
          </w:rPr>
          <w:t xml:space="preserve">Hodge2020?</w:t>
        </w:r>
      </w:hyperlink>
      <w:r>
        <w:t xml:space="preserve">)</w:t>
      </w:r>
      <w:r>
        <w:t xml:space="preserve">.</w:t>
      </w:r>
    </w:p>
    <w:bookmarkStart w:id="81" w:name="fast-frequency-response"/>
    <w:p>
      <w:pPr>
        <w:pStyle w:val="Heading4"/>
      </w:pPr>
      <w:r>
        <w:rPr>
          <w:rStyle w:val="SectionNumber"/>
        </w:rPr>
        <w:t xml:space="preserve">4.8.3.1</w:t>
      </w:r>
      <w:r>
        <w:tab/>
      </w:r>
      <w:r>
        <w:t xml:space="preserve">Fast frequency response</w:t>
      </w:r>
    </w:p>
    <w:p>
      <w:pPr>
        <w:pStyle w:val="FirstParagraph"/>
      </w:pPr>
      <w:r>
        <w:t xml:space="preserve">FFR can generally be provided within a matter of milliseconds to provide</w:t>
      </w:r>
      <w:r>
        <w:t xml:space="preserve"> </w:t>
      </w:r>
      <w:r>
        <w:t xml:space="preserve">a sustained active power response similar to PFC or to mitigate high</w:t>
      </w:r>
      <w:r>
        <w:t xml:space="preserve"> </w:t>
      </w:r>
      <w:r>
        <w:t xml:space="preserve">RoCoF events</w:t>
      </w:r>
      <w:r>
        <w:t xml:space="preserve"> </w:t>
      </w:r>
      <w:r>
        <w:t xml:space="preserve">(</w:t>
      </w:r>
      <w:hyperlink w:anchor="ref-AEMO2017a">
        <w:r>
          <w:rPr>
            <w:rStyle w:val="Hyperlink"/>
            <w:bCs/>
            <w:b/>
          </w:rPr>
          <w:t xml:space="preserve">AEMO2017a?</w:t>
        </w:r>
      </w:hyperlink>
      <w:r>
        <w:t xml:space="preserve">;</w:t>
      </w:r>
      <w:r>
        <w:t xml:space="preserve"> </w:t>
      </w:r>
      <w:hyperlink w:anchor="ref-Miller2017">
        <w:r>
          <w:rPr>
            <w:rStyle w:val="Hyperlink"/>
            <w:bCs/>
            <w:b/>
          </w:rPr>
          <w:t xml:space="preserve">Miller2017?</w:t>
        </w:r>
      </w:hyperlink>
      <w:r>
        <w:t xml:space="preserve">)</w:t>
      </w:r>
      <w:r>
        <w:t xml:space="preserve">. In response to an</w:t>
      </w:r>
      <w:r>
        <w:t xml:space="preserve"> </w:t>
      </w:r>
      <w:r>
        <w:t xml:space="preserve">under-frequency event, a sustained active power raise response, similar</w:t>
      </w:r>
      <w:r>
        <w:t xml:space="preserve"> </w:t>
      </w:r>
      <w:r>
        <w:t xml:space="preserve">to PFC, can be achieved by implementing frequency droop control in the</w:t>
      </w:r>
      <w:r>
        <w:t xml:space="preserve"> </w:t>
      </w:r>
      <w:r>
        <w:t xml:space="preserve">inverter of a BESS, or that of a variable IBR that has been</w:t>
      </w:r>
      <w:r>
        <w:t xml:space="preserve"> </w:t>
      </w:r>
      <w:r>
        <w:rPr>
          <w:iCs/>
          <w:i/>
        </w:rPr>
        <w:t xml:space="preserve">deloaded</w:t>
      </w:r>
      <w:r>
        <w:t xml:space="preserve"> </w:t>
      </w:r>
      <w:r>
        <w:t xml:space="preserve">to provide headroom. Wind turbines can be deloaded through pitch angle</w:t>
      </w:r>
      <w:r>
        <w:t xml:space="preserve"> </w:t>
      </w:r>
      <w:r>
        <w:t xml:space="preserve">or over speed control, whereas solar PV is typically deloaded through</w:t>
      </w:r>
      <w:r>
        <w:t xml:space="preserve"> </w:t>
      </w:r>
      <w:r>
        <w:t xml:space="preserve">over-voltage control</w:t>
      </w:r>
      <w:r>
        <w:t xml:space="preserve"> </w:t>
      </w:r>
      <w:r>
        <w:t xml:space="preserve">(</w:t>
      </w:r>
      <w:hyperlink w:anchor="ref-Dreidy2017">
        <w:r>
          <w:rPr>
            <w:rStyle w:val="Hyperlink"/>
            <w:bCs/>
            <w:b/>
          </w:rPr>
          <w:t xml:space="preserve">Dreidy2017?</w:t>
        </w:r>
      </w:hyperlink>
      <w:r>
        <w:t xml:space="preserve">;</w:t>
      </w:r>
      <w:r>
        <w:t xml:space="preserve"> </w:t>
      </w:r>
      <w:hyperlink w:anchor="ref-Tielens2012">
        <w:r>
          <w:rPr>
            <w:rStyle w:val="Hyperlink"/>
            <w:bCs/>
            <w:b/>
          </w:rPr>
          <w:t xml:space="preserve">Tielens2012?</w:t>
        </w:r>
      </w:hyperlink>
      <w:r>
        <w:t xml:space="preserve">;</w:t>
      </w:r>
      <w:r>
        <w:t xml:space="preserve"> </w:t>
      </w:r>
      <w:hyperlink w:anchor="ref-Fernandez-Guillamon2019a">
        <w:r>
          <w:rPr>
            <w:rStyle w:val="Hyperlink"/>
            <w:bCs/>
            <w:b/>
          </w:rPr>
          <w:t xml:space="preserve">Fernandez-Guillamon2019a?</w:t>
        </w:r>
      </w:hyperlink>
      <w:r>
        <w:t xml:space="preserve">)</w:t>
      </w:r>
      <w:r>
        <w:t xml:space="preserve">. A sustained</w:t>
      </w:r>
      <w:r>
        <w:t xml:space="preserve"> </w:t>
      </w:r>
      <w:r>
        <w:t xml:space="preserve">lower response can be delivered by operating an inverter control system</w:t>
      </w:r>
      <w:r>
        <w:t xml:space="preserve"> </w:t>
      </w:r>
      <w:r>
        <w:t xml:space="preserve">at an off-maximum power point to reduce the IBR’s active power output.</w:t>
      </w:r>
    </w:p>
    <w:p>
      <w:pPr>
        <w:pStyle w:val="BodyText"/>
      </w:pPr>
      <w:r>
        <w:t xml:space="preserve">High RoCoF can be mitigated by FFR that is delivered through processes</w:t>
      </w:r>
      <w:r>
        <w:t xml:space="preserve"> </w:t>
      </w:r>
      <w:r>
        <w:t xml:space="preserve">and controls that mimic the inertial response of a synchronous generator</w:t>
      </w:r>
      <w:r>
        <w:t xml:space="preserve"> </w:t>
      </w:r>
      <w:r>
        <w:t xml:space="preserve">(</w:t>
      </w:r>
      <w:hyperlink w:anchor="ref-Eriksson2018">
        <w:r>
          <w:rPr>
            <w:rStyle w:val="Hyperlink"/>
            <w:bCs/>
            <w:b/>
          </w:rPr>
          <w:t xml:space="preserve">Eriksson2018?</w:t>
        </w:r>
      </w:hyperlink>
      <w:r>
        <w:t xml:space="preserve">)</w:t>
      </w:r>
      <w:r>
        <w:t xml:space="preserve">. Inertia-based FFR (otherwise known as</w:t>
      </w:r>
      <w:r>
        <w:t xml:space="preserve"> </w:t>
      </w:r>
      <w:r>
        <w:rPr>
          <w:iCs/>
          <w:i/>
        </w:rPr>
        <w:t xml:space="preserve">synthetic</w:t>
      </w:r>
      <w:r>
        <w:rPr>
          <w:iCs/>
          <w:i/>
        </w:rPr>
        <w:t xml:space="preserve"> </w:t>
      </w:r>
      <w:r>
        <w:rPr>
          <w:iCs/>
          <w:i/>
        </w:rPr>
        <w:t xml:space="preserve">inertia</w:t>
      </w:r>
      <w:r>
        <w:t xml:space="preserve"> </w:t>
      </w:r>
      <w:r>
        <w:t xml:space="preserve">in the literature) is provided by extracting the kinetic energy</w:t>
      </w:r>
      <w:r>
        <w:t xml:space="preserve"> </w:t>
      </w:r>
      <w:r>
        <w:t xml:space="preserve">from a wind turbine rotor to rapidly inject active power</w:t>
      </w:r>
      <w:r>
        <w:t xml:space="preserve"> </w:t>
      </w:r>
      <w:r>
        <w:t xml:space="preserve">(</w:t>
      </w:r>
      <w:hyperlink w:anchor="ref-Miller2017">
        <w:r>
          <w:rPr>
            <w:rStyle w:val="Hyperlink"/>
            <w:bCs/>
            <w:b/>
          </w:rPr>
          <w:t xml:space="preserve">Miller2017?</w:t>
        </w:r>
      </w:hyperlink>
      <w:r>
        <w:t xml:space="preserve">)</w:t>
      </w:r>
      <w:r>
        <w:t xml:space="preserve"> </w:t>
      </w:r>
      <w:r>
        <w:t xml:space="preserve">into the power system. FFR from</w:t>
      </w:r>
      <w:r>
        <w:t xml:space="preserve"> </w:t>
      </w:r>
      <w:r>
        <w:rPr>
          <w:iCs/>
          <w:i/>
        </w:rPr>
        <w:t xml:space="preserve">virtual inertia</w:t>
      </w:r>
      <w:r>
        <w:t xml:space="preserve">, on the other hand, is</w:t>
      </w:r>
      <w:r>
        <w:t xml:space="preserve"> </w:t>
      </w:r>
      <w:r>
        <w:t xml:space="preserve">provided as the result of implementing the dynamic model of a</w:t>
      </w:r>
      <w:r>
        <w:t xml:space="preserve"> </w:t>
      </w:r>
      <w:r>
        <w:t xml:space="preserve">synchronous machine to some degree within an inverter control system</w:t>
      </w:r>
      <w:r>
        <w:t xml:space="preserve"> </w:t>
      </w:r>
      <w:r>
        <w:t xml:space="preserve">(</w:t>
      </w:r>
      <w:hyperlink w:anchor="ref-Tamrakar2017">
        <w:r>
          <w:rPr>
            <w:rStyle w:val="Hyperlink"/>
            <w:bCs/>
            <w:b/>
          </w:rPr>
          <w:t xml:space="preserve">Tamrakar2017?</w:t>
        </w:r>
      </w:hyperlink>
      <w:r>
        <w:t xml:space="preserve">;</w:t>
      </w:r>
      <w:r>
        <w:t xml:space="preserve"> </w:t>
      </w:r>
      <w:hyperlink w:anchor="ref-Anderson-Cook2013">
        <w:r>
          <w:rPr>
            <w:rStyle w:val="Hyperlink"/>
            <w:bCs/>
            <w:b/>
          </w:rPr>
          <w:t xml:space="preserve">Anderson-Cook2013?</w:t>
        </w:r>
      </w:hyperlink>
      <w:r>
        <w:t xml:space="preserve">)</w:t>
      </w:r>
      <w:r>
        <w:t xml:space="preserve">. As FFR requires some form of</w:t>
      </w:r>
      <w:r>
        <w:t xml:space="preserve"> </w:t>
      </w:r>
      <w:r>
        <w:t xml:space="preserve">measurement and is not inherent, it cannot be considered to be a direct</w:t>
      </w:r>
      <w:r>
        <w:t xml:space="preserve"> </w:t>
      </w:r>
      <w:r>
        <w:t xml:space="preserve">substitute for inertial response</w:t>
      </w:r>
      <w:r>
        <w:t xml:space="preserve"> </w:t>
      </w:r>
      <w:r>
        <w:t xml:space="preserve">(</w:t>
      </w:r>
      <w:hyperlink w:anchor="ref-Miller2017">
        <w:r>
          <w:rPr>
            <w:rStyle w:val="Hyperlink"/>
            <w:bCs/>
            <w:b/>
          </w:rPr>
          <w:t xml:space="preserve">Miller2017?</w:t>
        </w:r>
      </w:hyperlink>
      <w:r>
        <w:t xml:space="preserve">;</w:t>
      </w:r>
      <w:r>
        <w:t xml:space="preserve"> </w:t>
      </w:r>
      <w:hyperlink w:anchor="ref-AEMO2017a">
        <w:r>
          <w:rPr>
            <w:rStyle w:val="Hyperlink"/>
            <w:bCs/>
            <w:b/>
          </w:rPr>
          <w:t xml:space="preserve">AEMO2017a?</w:t>
        </w:r>
      </w:hyperlink>
      <w:r>
        <w:t xml:space="preserve">)</w:t>
      </w:r>
      <w:r>
        <w:t xml:space="preserve">.</w:t>
      </w:r>
    </w:p>
    <w:bookmarkEnd w:id="81"/>
    <w:bookmarkEnd w:id="82"/>
    <w:bookmarkEnd w:id="83"/>
    <w:bookmarkStart w:id="98" w:name="sec:procurement"/>
    <w:p>
      <w:pPr>
        <w:pStyle w:val="Heading2"/>
      </w:pPr>
      <w:r>
        <w:rPr>
          <w:rStyle w:val="SectionNumber"/>
        </w:rPr>
        <w:t xml:space="preserve">4.9</w:t>
      </w:r>
      <w:r>
        <w:tab/>
      </w:r>
      <w:r>
        <w:t xml:space="preserve">Procurement of frequency control services</w:t>
      </w:r>
    </w:p>
    <w:p>
      <w:pPr>
        <w:pStyle w:val="FirstParagraph"/>
      </w:pPr>
      <w:r>
        <w:t xml:space="preserve">As highlighted by</w:t>
      </w:r>
      <w:r>
        <w:t xml:space="preserve"> </w:t>
      </w:r>
      <w:r>
        <w:t xml:space="preserve">(</w:t>
      </w:r>
      <w:hyperlink w:anchor="ref-Ela2012b">
        <w:r>
          <w:rPr>
            <w:rStyle w:val="Hyperlink"/>
            <w:bCs/>
            <w:b/>
          </w:rPr>
          <w:t xml:space="preserve">Ela2012b?</w:t>
        </w:r>
      </w:hyperlink>
      <w:r>
        <w:t xml:space="preserve">)</w:t>
      </w:r>
      <w:r>
        <w:t xml:space="preserve"> </w:t>
      </w:r>
      <w:r>
        <w:t xml:space="preserve">and</w:t>
      </w:r>
      <w:r>
        <w:t xml:space="preserve"> </w:t>
      </w:r>
      <w:r>
        <w:t xml:space="preserve">(</w:t>
      </w:r>
      <w:hyperlink w:anchor="ref-Billimoria2020">
        <w:r>
          <w:rPr>
            <w:rStyle w:val="Hyperlink"/>
            <w:bCs/>
            <w:b/>
          </w:rPr>
          <w:t xml:space="preserve">Billimoria2020?</w:t>
        </w:r>
      </w:hyperlink>
      <w:r>
        <w:t xml:space="preserve">)</w:t>
      </w:r>
      <w:r>
        <w:t xml:space="preserve">, frequency control</w:t>
      </w:r>
      <w:r>
        <w:t xml:space="preserve"> </w:t>
      </w:r>
      <w:r>
        <w:t xml:space="preserve">services are typically procured through a combination of market-based</w:t>
      </w:r>
      <w:r>
        <w:t xml:space="preserve"> </w:t>
      </w:r>
      <w:r>
        <w:t xml:space="preserve">mechanisms, such as remunerative schemes or contract or spot markets,</w:t>
      </w:r>
      <w:r>
        <w:t xml:space="preserve"> </w:t>
      </w:r>
      <w:r>
        <w:t xml:space="preserve">and regulatory mechanisms, such as connection requirements or system</w:t>
      </w:r>
      <w:r>
        <w:t xml:space="preserve"> </w:t>
      </w:r>
      <w:r>
        <w:t xml:space="preserve">operator intervention.</w:t>
      </w:r>
    </w:p>
    <w:bookmarkStart w:id="92" w:name="sec:market_mech"/>
    <w:p>
      <w:pPr>
        <w:pStyle w:val="Heading3"/>
      </w:pPr>
      <w:r>
        <w:rPr>
          <w:rStyle w:val="SectionNumber"/>
        </w:rPr>
        <w:t xml:space="preserve">4.9.1</w:t>
      </w:r>
      <w:r>
        <w:tab/>
      </w:r>
      <w:r>
        <w:t xml:space="preserve">Market-based mechanisms</w:t>
      </w:r>
    </w:p>
    <w:bookmarkStart w:id="84" w:name="suitability-of-markets"/>
    <w:p>
      <w:pPr>
        <w:pStyle w:val="Heading4"/>
      </w:pPr>
      <w:r>
        <w:rPr>
          <w:rStyle w:val="SectionNumber"/>
        </w:rPr>
        <w:t xml:space="preserve">4.9.1.1</w:t>
      </w:r>
      <w:r>
        <w:tab/>
      </w:r>
      <w:r>
        <w:t xml:space="preserve">Suitability of markets</w:t>
      </w:r>
    </w:p>
    <w:p>
      <w:pPr>
        <w:pStyle w:val="FirstParagraph"/>
      </w:pPr>
      <w:r>
        <w:t xml:space="preserve">Many restructured electricity industries have developed competitive</w:t>
      </w:r>
      <w:r>
        <w:t xml:space="preserve"> </w:t>
      </w:r>
      <w:r>
        <w:rPr>
          <w:iCs/>
          <w:i/>
        </w:rPr>
        <w:t xml:space="preserve">ancillary services</w:t>
      </w:r>
      <w:r>
        <w:t xml:space="preserve"> </w:t>
      </w:r>
      <w:r>
        <w:t xml:space="preserve">markets that enable frequency control services to</w:t>
      </w:r>
      <w:r>
        <w:t xml:space="preserve"> </w:t>
      </w:r>
      <w:r>
        <w:t xml:space="preserve">be procured alongside</w:t>
      </w:r>
      <w:r>
        <w:t xml:space="preserve"> </w:t>
      </w:r>
      <w:r>
        <w:rPr>
          <w:iCs/>
          <w:i/>
        </w:rPr>
        <w:t xml:space="preserve">primary</w:t>
      </w:r>
      <w:r>
        <w:t xml:space="preserve"> </w:t>
      </w:r>
      <w:r>
        <w:t xml:space="preserve">markets for energy and/or capacity</w:t>
      </w:r>
      <w:r>
        <w:t xml:space="preserve"> </w:t>
      </w:r>
      <w:r>
        <w:t xml:space="preserve">provision. Competitive markets are a suitable mechanism for procuring</w:t>
      </w:r>
      <w:r>
        <w:t xml:space="preserve"> </w:t>
      </w:r>
      <w:r>
        <w:t xml:space="preserve">frequency control services as AC frequency is a global parameter and, as</w:t>
      </w:r>
      <w:r>
        <w:t xml:space="preserve"> </w:t>
      </w:r>
      <w:r>
        <w:t xml:space="preserve">such, frequency control services can be provided by any capable resource</w:t>
      </w:r>
      <w:r>
        <w:t xml:space="preserve"> </w:t>
      </w:r>
      <w:r>
        <w:t xml:space="preserve">within a synchronous area</w:t>
      </w:r>
      <w:r>
        <w:t xml:space="preserve"> </w:t>
      </w:r>
      <w:r>
        <w:t xml:space="preserve">(</w:t>
      </w:r>
      <w:hyperlink w:anchor="ref-Billimoria2020">
        <w:r>
          <w:rPr>
            <w:rStyle w:val="Hyperlink"/>
            <w:bCs/>
            <w:b/>
          </w:rPr>
          <w:t xml:space="preserve">Billimoria2020?</w:t>
        </w:r>
      </w:hyperlink>
      <w:r>
        <w:t xml:space="preserve">;</w:t>
      </w:r>
      <w:r>
        <w:t xml:space="preserve"> </w:t>
      </w:r>
      <w:hyperlink w:anchor="ref-Hirst1998">
        <w:r>
          <w:rPr>
            <w:rStyle w:val="Hyperlink"/>
            <w:bCs/>
            <w:b/>
          </w:rPr>
          <w:t xml:space="preserve">Hirst1998?</w:t>
        </w:r>
      </w:hyperlink>
      <w:r>
        <w:t xml:space="preserve">)</w:t>
      </w:r>
      <w:r>
        <w:t xml:space="preserve">. This supports</w:t>
      </w:r>
      <w:r>
        <w:t xml:space="preserve"> </w:t>
      </w:r>
      <w:r>
        <w:t xml:space="preserve">greater participation and competition in frequency control markets.</w:t>
      </w:r>
      <w:r>
        <w:t xml:space="preserve"> </w:t>
      </w:r>
      <w:r>
        <w:t xml:space="preserve">Furthermore, frequency control services and energy are essentially the</w:t>
      </w:r>
      <w:r>
        <w:t xml:space="preserve"> </w:t>
      </w:r>
      <w:r>
        <w:t xml:space="preserve">same commodity (active power) but differentiated by their delivery</w:t>
      </w:r>
      <w:r>
        <w:t xml:space="preserve"> </w:t>
      </w:r>
      <w:r>
        <w:t xml:space="preserve">methods, with the former providing reserve capacity that responds in the</w:t>
      </w:r>
      <w:r>
        <w:t xml:space="preserve"> </w:t>
      </w:r>
      <w:r>
        <w:t xml:space="preserve">event of a frequency deviation and the latter providing sustained</w:t>
      </w:r>
      <w:r>
        <w:t xml:space="preserve"> </w:t>
      </w:r>
      <w:r>
        <w:t xml:space="preserve">delivery of active power during a market interval. Given that these</w:t>
      </w:r>
      <w:r>
        <w:t xml:space="preserve"> </w:t>
      </w:r>
      <w:r>
        <w:t xml:space="preserve">products are related, there are benefits related to reducing overall</w:t>
      </w:r>
      <w:r>
        <w:t xml:space="preserve"> </w:t>
      </w:r>
      <w:r>
        <w:t xml:space="preserve">system costs, incentivising frequency control provision and improving</w:t>
      </w:r>
      <w:r>
        <w:t xml:space="preserve"> </w:t>
      </w:r>
      <w:r>
        <w:t xml:space="preserve">trade outcomes for market participants by</w:t>
      </w:r>
      <w:r>
        <w:t xml:space="preserve"> </w:t>
      </w:r>
      <w:r>
        <w:rPr>
          <w:iCs/>
          <w:i/>
        </w:rPr>
        <w:t xml:space="preserve">co-optimising</w:t>
      </w:r>
      <w:r>
        <w:t xml:space="preserve"> </w:t>
      </w:r>
      <w:r>
        <w:t xml:space="preserve">markets for</w:t>
      </w:r>
      <w:r>
        <w:t xml:space="preserve"> </w:t>
      </w:r>
      <w:r>
        <w:t xml:space="preserve">energy and frequency control services</w:t>
      </w:r>
      <w:r>
        <w:t xml:space="preserve"> </w:t>
      </w:r>
      <w:r>
        <w:t xml:space="preserve">(</w:t>
      </w:r>
      <w:hyperlink w:anchor="ref-Ela2016">
        <w:r>
          <w:rPr>
            <w:rStyle w:val="Hyperlink"/>
            <w:bCs/>
            <w:b/>
          </w:rPr>
          <w:t xml:space="preserve">Ela2016?</w:t>
        </w:r>
      </w:hyperlink>
      <w:r>
        <w:t xml:space="preserve">)</w:t>
      </w:r>
      <w:r>
        <w:t xml:space="preserve">.</w:t>
      </w:r>
    </w:p>
    <w:bookmarkEnd w:id="84"/>
    <w:bookmarkStart w:id="85" w:name="opportunity-costs-and-co-optimisation"/>
    <w:p>
      <w:pPr>
        <w:pStyle w:val="Heading4"/>
      </w:pPr>
      <w:r>
        <w:rPr>
          <w:rStyle w:val="SectionNumber"/>
        </w:rPr>
        <w:t xml:space="preserve">4.9.1.2</w:t>
      </w:r>
      <w:r>
        <w:tab/>
      </w:r>
      <w:r>
        <w:t xml:space="preserve">Opportunity costs and co-optimisation</w:t>
      </w:r>
    </w:p>
    <w:p>
      <w:pPr>
        <w:pStyle w:val="FirstParagraph"/>
      </w:pPr>
      <w:r>
        <w:t xml:space="preserve">To provide raise frequency control services, generation must allocate</w:t>
      </w:r>
      <w:r>
        <w:t xml:space="preserve"> </w:t>
      </w:r>
      <w:r>
        <w:t xml:space="preserve">reserve capacity, which may be at the expense of profitable energy</w:t>
      </w:r>
      <w:r>
        <w:t xml:space="preserve"> </w:t>
      </w:r>
      <w:r>
        <w:t xml:space="preserve">provision</w:t>
      </w:r>
      <w:r>
        <w:t xml:space="preserve"> </w:t>
      </w:r>
      <w:r>
        <w:t xml:space="preserve">(</w:t>
      </w:r>
      <w:hyperlink w:anchor="ref-Raineri2006">
        <w:r>
          <w:rPr>
            <w:rStyle w:val="Hyperlink"/>
            <w:bCs/>
            <w:b/>
          </w:rPr>
          <w:t xml:space="preserve">Raineri2006?</w:t>
        </w:r>
      </w:hyperlink>
      <w:r>
        <w:t xml:space="preserve">)</w:t>
      </w:r>
      <w:r>
        <w:t xml:space="preserve">. As such, participation in ancillary services</w:t>
      </w:r>
      <w:r>
        <w:t xml:space="preserve"> </w:t>
      </w:r>
      <w:r>
        <w:t xml:space="preserve">markets often entails an</w:t>
      </w:r>
      <w:r>
        <w:t xml:space="preserve"> </w:t>
      </w:r>
      <w:r>
        <w:rPr>
          <w:iCs/>
          <w:i/>
        </w:rPr>
        <w:t xml:space="preserve">opportunity cost</w:t>
      </w:r>
      <w:r>
        <w:t xml:space="preserve"> </w:t>
      </w:r>
      <w:r>
        <w:t xml:space="preserve">to market participants.</w:t>
      </w:r>
      <w:r>
        <w:t xml:space="preserve"> </w:t>
      </w:r>
      <w:r>
        <w:t xml:space="preserve">While frequency control services markets are often co-optimised with</w:t>
      </w:r>
      <w:r>
        <w:t xml:space="preserve"> </w:t>
      </w:r>
      <w:r>
        <w:t xml:space="preserve">energy markets to ensure that power system energy supply and security</w:t>
      </w:r>
      <w:r>
        <w:t xml:space="preserve"> </w:t>
      </w:r>
      <w:r>
        <w:t xml:space="preserve">requirements are met at the lowest cost to the system, participant</w:t>
      </w:r>
      <w:r>
        <w:t xml:space="preserve"> </w:t>
      </w:r>
      <w:r>
        <w:t xml:space="preserve">opportunity costs can be accounted for in two ways in mandatory pool</w:t>
      </w:r>
      <w:r>
        <w:t xml:space="preserve"> </w:t>
      </w:r>
      <w:r>
        <w:t xml:space="preserve">electricity markets:</w:t>
      </w:r>
    </w:p>
    <w:p>
      <w:pPr>
        <w:numPr>
          <w:ilvl w:val="0"/>
          <w:numId w:val="1004"/>
        </w:numPr>
      </w:pPr>
      <w:r>
        <w:t xml:space="preserve">In</w:t>
      </w:r>
      <w:r>
        <w:t xml:space="preserve"> </w:t>
      </w:r>
      <w:r>
        <w:rPr>
          <w:iCs/>
          <w:i/>
        </w:rPr>
        <w:t xml:space="preserve">partially co-optimised</w:t>
      </w:r>
      <w:r>
        <w:t xml:space="preserve"> </w:t>
      </w:r>
      <w:r>
        <w:t xml:space="preserve">frequency control services markets,</w:t>
      </w:r>
      <w:r>
        <w:t xml:space="preserve"> </w:t>
      </w:r>
      <w:r>
        <w:t xml:space="preserve">perceived opportunity costs are incorporated into bids by market</w:t>
      </w:r>
      <w:r>
        <w:t xml:space="preserve"> </w:t>
      </w:r>
      <w:r>
        <w:t xml:space="preserve">participant. The procurement of frequency control services and</w:t>
      </w:r>
      <w:r>
        <w:t xml:space="preserve"> </w:t>
      </w:r>
      <w:r>
        <w:t xml:space="preserve">energy is co-optimised by the system operator in SCUC and/or SCED,</w:t>
      </w:r>
      <w:r>
        <w:t xml:space="preserve"> </w:t>
      </w:r>
      <w:r>
        <w:t xml:space="preserve">thereby minimising overall costs to the system</w:t>
      </w:r>
      <w:r>
        <w:t xml:space="preserve"> </w:t>
      </w:r>
      <w:r>
        <w:t xml:space="preserve">(</w:t>
      </w:r>
      <w:hyperlink w:anchor="ref-Isemonger2009">
        <w:r>
          <w:rPr>
            <w:rStyle w:val="Hyperlink"/>
            <w:bCs/>
            <w:b/>
          </w:rPr>
          <w:t xml:space="preserve">Isemonger2009?</w:t>
        </w:r>
      </w:hyperlink>
      <w:r>
        <w:t xml:space="preserve">)</w:t>
      </w:r>
      <w:r>
        <w:t xml:space="preserve">.</w:t>
      </w:r>
    </w:p>
    <w:p>
      <w:pPr>
        <w:numPr>
          <w:ilvl w:val="0"/>
          <w:numId w:val="1004"/>
        </w:numPr>
      </w:pPr>
      <w:r>
        <w:t xml:space="preserve">In</w:t>
      </w:r>
      <w:r>
        <w:t xml:space="preserve"> </w:t>
      </w:r>
      <w:r>
        <w:rPr>
          <w:iCs/>
          <w:i/>
        </w:rPr>
        <w:t xml:space="preserve">fully co-optimised</w:t>
      </w:r>
      <w:r>
        <w:t xml:space="preserve"> </w:t>
      </w:r>
      <w:r>
        <w:t xml:space="preserve">frequency control services markets, market</w:t>
      </w:r>
      <w:r>
        <w:t xml:space="preserve"> </w:t>
      </w:r>
      <w:r>
        <w:t xml:space="preserve">participants submit bids for energy and frequency control services</w:t>
      </w:r>
      <w:r>
        <w:t xml:space="preserve"> </w:t>
      </w:r>
      <w:r>
        <w:t xml:space="preserve">provision. The system operator then determines a price for frequency</w:t>
      </w:r>
      <w:r>
        <w:t xml:space="preserve"> </w:t>
      </w:r>
      <w:r>
        <w:t xml:space="preserve">control services that is the sum of the bid offer and the</w:t>
      </w:r>
      <w:r>
        <w:t xml:space="preserve"> </w:t>
      </w:r>
      <w:r>
        <w:t xml:space="preserve">opportunity cost of that resource foregoing provision of energy or</w:t>
      </w:r>
      <w:r>
        <w:t xml:space="preserve"> </w:t>
      </w:r>
      <w:r>
        <w:t xml:space="preserve">other services. The system operator can then co-optimise all bids</w:t>
      </w:r>
      <w:r>
        <w:t xml:space="preserve"> </w:t>
      </w:r>
      <w:r>
        <w:t xml:space="preserve">and costs in SCUC and/or SCED so as to simultaneously maximise</w:t>
      </w:r>
      <w:r>
        <w:t xml:space="preserve"> </w:t>
      </w:r>
      <w:r>
        <w:t xml:space="preserve">profit for market participants whilst minimising overall costs to</w:t>
      </w:r>
      <w:r>
        <w:t xml:space="preserve"> </w:t>
      </w:r>
      <w:r>
        <w:t xml:space="preserve">the system</w:t>
      </w:r>
      <w:r>
        <w:t xml:space="preserve"> </w:t>
      </w:r>
      <w:r>
        <w:t xml:space="preserve">(</w:t>
      </w:r>
      <w:hyperlink w:anchor="ref-Ela2012a">
        <w:r>
          <w:rPr>
            <w:rStyle w:val="Hyperlink"/>
            <w:bCs/>
            <w:b/>
          </w:rPr>
          <w:t xml:space="preserve">Ela2012a?</w:t>
        </w:r>
      </w:hyperlink>
      <w:r>
        <w:t xml:space="preserve">;</w:t>
      </w:r>
      <w:r>
        <w:t xml:space="preserve"> </w:t>
      </w:r>
      <w:hyperlink w:anchor="ref-IntelligentEnergySystems2010a">
        <w:r>
          <w:rPr>
            <w:rStyle w:val="Hyperlink"/>
            <w:bCs/>
            <w:b/>
          </w:rPr>
          <w:t xml:space="preserve">IntelligentEnergySystems2010a?</w:t>
        </w:r>
      </w:hyperlink>
      <w:r>
        <w:t xml:space="preserve">)</w:t>
      </w:r>
      <w:r>
        <w:t xml:space="preserve">.</w:t>
      </w:r>
    </w:p>
    <w:bookmarkEnd w:id="85"/>
    <w:bookmarkStart w:id="86" w:name="Xcf548b7512fcfb3a090e3412be6584690254300"/>
    <w:p>
      <w:pPr>
        <w:pStyle w:val="Heading4"/>
      </w:pPr>
      <w:r>
        <w:rPr>
          <w:rStyle w:val="SectionNumber"/>
        </w:rPr>
        <w:t xml:space="preserve">4.9.1.3</w:t>
      </w:r>
      <w:r>
        <w:tab/>
      </w:r>
      <w:r>
        <w:t xml:space="preserve">Potential benefits of market-based mechanisms</w:t>
      </w:r>
    </w:p>
    <w:p>
      <w:pPr>
        <w:pStyle w:val="FirstParagraph"/>
      </w:pPr>
      <w:r>
        <w:t xml:space="preserve">Compensation for frequency control services addresses the externality of</w:t>
      </w:r>
      <w:r>
        <w:t xml:space="preserve"> </w:t>
      </w:r>
      <w:r>
        <w:t xml:space="preserve">providing ancillary services, particularly if the compensation is</w:t>
      </w:r>
      <w:r>
        <w:t xml:space="preserve"> </w:t>
      </w:r>
      <w:r>
        <w:t xml:space="preserve">aligned with a market participant’s opportunity costs</w:t>
      </w:r>
      <w:r>
        <w:t xml:space="preserve"> </w:t>
      </w:r>
      <w:r>
        <w:t xml:space="preserve">(</w:t>
      </w:r>
      <w:hyperlink w:anchor="ref-Rebours2007b">
        <w:r>
          <w:rPr>
            <w:rStyle w:val="Hyperlink"/>
            <w:bCs/>
            <w:b/>
          </w:rPr>
          <w:t xml:space="preserve">Rebours2007b?</w:t>
        </w:r>
      </w:hyperlink>
      <w:r>
        <w:t xml:space="preserve">)</w:t>
      </w:r>
      <w:r>
        <w:t xml:space="preserve">.</w:t>
      </w:r>
      <w:r>
        <w:t xml:space="preserve"> </w:t>
      </w:r>
      <w:r>
        <w:t xml:space="preserve">Furthermore, if compensation is delivered through market-based</w:t>
      </w:r>
      <w:r>
        <w:t xml:space="preserve"> </w:t>
      </w:r>
      <w:r>
        <w:t xml:space="preserve">mechanisms and if these mechanisms are designed well, frequency control</w:t>
      </w:r>
      <w:r>
        <w:t xml:space="preserve"> </w:t>
      </w:r>
      <w:r>
        <w:t xml:space="preserve">services can be procured at least cost to the system from resources that</w:t>
      </w:r>
      <w:r>
        <w:t xml:space="preserve"> </w:t>
      </w:r>
      <w:r>
        <w:t xml:space="preserve">are best placed to provide them within an operational timeframe</w:t>
      </w:r>
      <w:r>
        <w:t xml:space="preserve"> </w:t>
      </w:r>
      <w:r>
        <w:t xml:space="preserve">(</w:t>
      </w:r>
      <w:r>
        <w:rPr>
          <w:iCs/>
          <w:i/>
        </w:rPr>
        <w:t xml:space="preserve">productive</w:t>
      </w:r>
      <w:r>
        <w:t xml:space="preserve"> </w:t>
      </w:r>
      <w:r>
        <w:t xml:space="preserve">efficiency) and spur efficient investment in frequency</w:t>
      </w:r>
      <w:r>
        <w:t xml:space="preserve"> </w:t>
      </w:r>
      <w:r>
        <w:t xml:space="preserve">control capabilities by market participants into the future (</w:t>
      </w:r>
      <w:r>
        <w:rPr>
          <w:iCs/>
          <w:i/>
        </w:rPr>
        <w:t xml:space="preserve">dynamic</w:t>
      </w:r>
      <w:r>
        <w:t xml:space="preserve"> </w:t>
      </w:r>
      <w:r>
        <w:t xml:space="preserve">efficiency)</w:t>
      </w:r>
      <w:r>
        <w:t xml:space="preserve"> </w:t>
      </w:r>
      <w:r>
        <w:t xml:space="preserve">(</w:t>
      </w:r>
      <w:hyperlink w:anchor="ref-Thorncraft2007">
        <w:r>
          <w:rPr>
            <w:rStyle w:val="Hyperlink"/>
            <w:bCs/>
            <w:b/>
          </w:rPr>
          <w:t xml:space="preserve">Thorncraft2007?</w:t>
        </w:r>
      </w:hyperlink>
      <w:r>
        <w:t xml:space="preserve">;</w:t>
      </w:r>
      <w:r>
        <w:t xml:space="preserve"> </w:t>
      </w:r>
      <w:hyperlink w:anchor="ref-Riesz2015b">
        <w:r>
          <w:rPr>
            <w:rStyle w:val="Hyperlink"/>
            <w:bCs/>
            <w:b/>
          </w:rPr>
          <w:t xml:space="preserve">Riesz2015b?</w:t>
        </w:r>
      </w:hyperlink>
      <w:r>
        <w:t xml:space="preserve">;</w:t>
      </w:r>
      <w:r>
        <w:t xml:space="preserve"> </w:t>
      </w:r>
      <w:hyperlink w:anchor="ref-Biggar2014TheMarkets">
        <w:r>
          <w:rPr>
            <w:rStyle w:val="Hyperlink"/>
            <w:bCs/>
            <w:b/>
          </w:rPr>
          <w:t xml:space="preserve">Biggar2014TheMarkets?</w:t>
        </w:r>
      </w:hyperlink>
      <w:r>
        <w:t xml:space="preserve">;</w:t>
      </w:r>
      <w:r>
        <w:t xml:space="preserve"> </w:t>
      </w:r>
      <w:hyperlink w:anchor="X807143375c276e39c7b29baa6194370d05520d0">
        <w:r>
          <w:rPr>
            <w:rStyle w:val="Hyperlink"/>
            <w:bCs/>
            <w:b/>
          </w:rPr>
          <w:t xml:space="preserve">AustralianEnergyMarketCommission2020a?</w:t>
        </w:r>
      </w:hyperlink>
      <w:r>
        <w:t xml:space="preserve">)</w:t>
      </w:r>
      <w:r>
        <w:t xml:space="preserve">.</w:t>
      </w:r>
    </w:p>
    <w:bookmarkEnd w:id="86"/>
    <w:bookmarkStart w:id="91" w:name="sec:challgnes_fcas_markets"/>
    <w:p>
      <w:pPr>
        <w:pStyle w:val="Heading4"/>
      </w:pPr>
      <w:r>
        <w:rPr>
          <w:rStyle w:val="SectionNumber"/>
        </w:rPr>
        <w:t xml:space="preserve">4.9.1.4</w:t>
      </w:r>
      <w:r>
        <w:tab/>
      </w:r>
      <w:r>
        <w:t xml:space="preserve">Challenges in frequency control services markets</w:t>
      </w:r>
    </w:p>
    <w:p>
      <w:pPr>
        <w:pStyle w:val="FirstParagraph"/>
      </w:pPr>
      <w:r>
        <w:t xml:space="preserve">Frequency control services markets face both existing and emerging</w:t>
      </w:r>
      <w:r>
        <w:t xml:space="preserve"> </w:t>
      </w:r>
      <w:r>
        <w:t xml:space="preserve">challenges to achieving productive and dynamically efficient outcomes.</w:t>
      </w:r>
      <w:r>
        <w:t xml:space="preserve"> </w:t>
      </w:r>
      <w:r>
        <w:t xml:space="preserve">The main challenges being faced in these markets are outlined below:</w:t>
      </w:r>
    </w:p>
    <w:bookmarkStart w:id="87" w:name="product-design-and-fungibility."/>
    <w:p>
      <w:pPr>
        <w:pStyle w:val="Heading5"/>
      </w:pPr>
      <w:r>
        <w:rPr>
          <w:rStyle w:val="SectionNumber"/>
        </w:rPr>
        <w:t xml:space="preserve">4.9.1.4.1</w:t>
      </w:r>
      <w:r>
        <w:tab/>
      </w:r>
      <w:r>
        <w:t xml:space="preserve">Product design and fungibility.</w:t>
      </w:r>
    </w:p>
    <w:p>
      <w:pPr>
        <w:pStyle w:val="FirstParagraph"/>
      </w:pPr>
      <w:r>
        <w:t xml:space="preserve">Products in existing frequency control services markets generally</w:t>
      </w:r>
      <w:r>
        <w:t xml:space="preserve"> </w:t>
      </w:r>
      <w:r>
        <w:t xml:space="preserve">reflect the capabilities and requirements of conventional frequency</w:t>
      </w:r>
      <w:r>
        <w:t xml:space="preserve"> </w:t>
      </w:r>
      <w:r>
        <w:t xml:space="preserve">control provided by synchronous generators</w:t>
      </w:r>
      <w:r>
        <w:t xml:space="preserve"> </w:t>
      </w:r>
      <w:r>
        <w:t xml:space="preserve">(</w:t>
      </w:r>
      <w:hyperlink w:anchor="ref-EU-SysFlex2019">
        <w:r>
          <w:rPr>
            <w:rStyle w:val="Hyperlink"/>
            <w:bCs/>
            <w:b/>
          </w:rPr>
          <w:t xml:space="preserve">EU-SysFlex2019?</w:t>
        </w:r>
      </w:hyperlink>
      <w:r>
        <w:t xml:space="preserve">)</w:t>
      </w:r>
      <w:r>
        <w:t xml:space="preserve">. As</w:t>
      </w:r>
      <w:r>
        <w:t xml:space="preserve"> </w:t>
      </w:r>
      <w:r>
        <w:t xml:space="preserve">frequency control abilities and needs have changed over time, various</w:t>
      </w:r>
      <w:r>
        <w:t xml:space="preserve"> </w:t>
      </w:r>
      <w:r>
        <w:t xml:space="preserve">jurisdictions have considered or created additional frequency control</w:t>
      </w:r>
      <w:r>
        <w:t xml:space="preserve"> </w:t>
      </w:r>
      <w:r>
        <w:t xml:space="preserve">services. These include ramping products, which have been implemented in</w:t>
      </w:r>
      <w:r>
        <w:t xml:space="preserve"> </w:t>
      </w:r>
      <w:r>
        <w:t xml:space="preserve">some ISO/RTO markets in response to increasing variability and</w:t>
      </w:r>
      <w:r>
        <w:t xml:space="preserve"> </w:t>
      </w:r>
      <w:r>
        <w:t xml:space="preserve">uncertainty</w:t>
      </w:r>
      <w:r>
        <w:t xml:space="preserve"> </w:t>
      </w:r>
      <w:r>
        <w:t xml:space="preserve">(</w:t>
      </w:r>
      <w:hyperlink w:anchor="ref-Ela2019">
        <w:r>
          <w:rPr>
            <w:rStyle w:val="Hyperlink"/>
            <w:bCs/>
            <w:b/>
          </w:rPr>
          <w:t xml:space="preserve">Ela2019?</w:t>
        </w:r>
      </w:hyperlink>
      <w:r>
        <w:t xml:space="preserve">;</w:t>
      </w:r>
      <w:r>
        <w:t xml:space="preserve"> </w:t>
      </w:r>
      <w:hyperlink w:anchor="ref-Ela2017">
        <w:r>
          <w:rPr>
            <w:rStyle w:val="Hyperlink"/>
            <w:bCs/>
            <w:b/>
          </w:rPr>
          <w:t xml:space="preserve">Ela2017?</w:t>
        </w:r>
      </w:hyperlink>
      <w:r>
        <w:t xml:space="preserve">)</w:t>
      </w:r>
      <w:r>
        <w:t xml:space="preserve">, FFR products to mitigate RoCoF</w:t>
      </w:r>
      <w:r>
        <w:t xml:space="preserve"> </w:t>
      </w:r>
      <w:r>
        <w:t xml:space="preserve">(</w:t>
      </w:r>
      <w:hyperlink w:anchor="ref-Ela2019">
        <w:r>
          <w:rPr>
            <w:rStyle w:val="Hyperlink"/>
            <w:bCs/>
            <w:b/>
          </w:rPr>
          <w:t xml:space="preserve">Ela2019?</w:t>
        </w:r>
      </w:hyperlink>
      <w:r>
        <w:t xml:space="preserve">;</w:t>
      </w:r>
      <w:r>
        <w:t xml:space="preserve"> </w:t>
      </w:r>
      <w:hyperlink w:anchor="ref-Fernandez-Munoz2020">
        <w:r>
          <w:rPr>
            <w:rStyle w:val="Hyperlink"/>
            <w:bCs/>
            <w:b/>
          </w:rPr>
          <w:t xml:space="preserve">Fernandez-Munoz2020?</w:t>
        </w:r>
      </w:hyperlink>
      <w:r>
        <w:t xml:space="preserve">)</w:t>
      </w:r>
      <w:r>
        <w:t xml:space="preserve"> </w:t>
      </w:r>
      <w:r>
        <w:t xml:space="preserve">and TFC or operating reserves where</w:t>
      </w:r>
      <w:r>
        <w:t xml:space="preserve"> </w:t>
      </w:r>
      <w:r>
        <w:t xml:space="preserve">operating reserve margins are a concern to the system operator</w:t>
      </w:r>
      <w:r>
        <w:t xml:space="preserve"> </w:t>
      </w:r>
      <w:r>
        <w:t xml:space="preserve">(</w:t>
      </w:r>
      <w:hyperlink w:anchor="ref-EnergySecurityBoard2020">
        <w:r>
          <w:rPr>
            <w:rStyle w:val="Hyperlink"/>
            <w:bCs/>
            <w:b/>
          </w:rPr>
          <w:t xml:space="preserve">EnergySecurityBoard2020?</w:t>
        </w:r>
      </w:hyperlink>
      <w:r>
        <w:t xml:space="preserve">)</w:t>
      </w:r>
      <w:r>
        <w:t xml:space="preserve">.</w:t>
      </w:r>
    </w:p>
    <w:p>
      <w:pPr>
        <w:pStyle w:val="BodyText"/>
      </w:pPr>
      <w:r>
        <w:t xml:space="preserve">Furthermore, there are trade-offs associated with the separation and</w:t>
      </w:r>
      <w:r>
        <w:t xml:space="preserve"> </w:t>
      </w:r>
      <w:r>
        <w:rPr>
          <w:iCs/>
          <w:i/>
        </w:rPr>
        <w:t xml:space="preserve">fungibility</w:t>
      </w:r>
      <w:r>
        <w:t xml:space="preserve"> </w:t>
      </w:r>
      <w:r>
        <w:t xml:space="preserve">of both existing and new frequency control products.</w:t>
      </w:r>
      <w:r>
        <w:t xml:space="preserve"> </w:t>
      </w:r>
      <w:r>
        <w:t xml:space="preserve">Market-based mechanisms will work best when a particular frequency</w:t>
      </w:r>
      <w:r>
        <w:t xml:space="preserve"> </w:t>
      </w:r>
      <w:r>
        <w:t xml:space="preserve">control product is a fungible and well defined, or</w:t>
      </w:r>
      <w:r>
        <w:t xml:space="preserve"> </w:t>
      </w:r>
      <w:r>
        <w:t xml:space="preserve">“</w:t>
      </w:r>
      <w:r>
        <w:t xml:space="preserve">discrete</w:t>
      </w:r>
      <w:r>
        <w:t xml:space="preserve">”</w:t>
      </w:r>
      <w:r>
        <w:t xml:space="preserve">, commodity</w:t>
      </w:r>
      <w:r>
        <w:t xml:space="preserve"> </w:t>
      </w:r>
      <w:r>
        <w:t xml:space="preserve">supplied by various providers</w:t>
      </w:r>
      <w:r>
        <w:t xml:space="preserve"> </w:t>
      </w:r>
      <w:r>
        <w:t xml:space="preserve">(</w:t>
      </w:r>
      <w:hyperlink w:anchor="ref-Gimon2020">
        <w:r>
          <w:rPr>
            <w:rStyle w:val="Hyperlink"/>
            <w:bCs/>
            <w:b/>
          </w:rPr>
          <w:t xml:space="preserve">Gimon2020?</w:t>
        </w:r>
      </w:hyperlink>
      <w:r>
        <w:t xml:space="preserve">)</w:t>
      </w:r>
      <w:r>
        <w:t xml:space="preserve">. With a sufficiently large</w:t>
      </w:r>
      <w:r>
        <w:t xml:space="preserve"> </w:t>
      </w:r>
      <w:r>
        <w:t xml:space="preserve">market, prices should reflect the costs incurred by various providers to</w:t>
      </w:r>
      <w:r>
        <w:t xml:space="preserve"> </w:t>
      </w:r>
      <w:r>
        <w:t xml:space="preserve">provide such a service</w:t>
      </w:r>
      <w:r>
        <w:t xml:space="preserve"> </w:t>
      </w:r>
      <w:r>
        <w:t xml:space="preserve">(</w:t>
      </w:r>
      <w:hyperlink w:anchor="ref-Ela2012b">
        <w:r>
          <w:rPr>
            <w:rStyle w:val="Hyperlink"/>
            <w:bCs/>
            <w:b/>
          </w:rPr>
          <w:t xml:space="preserve">Ela2012b?</w:t>
        </w:r>
      </w:hyperlink>
      <w:r>
        <w:t xml:space="preserve">)</w:t>
      </w:r>
      <w:r>
        <w:t xml:space="preserve">. This, however, ignores the wide</w:t>
      </w:r>
      <w:r>
        <w:t xml:space="preserve"> </w:t>
      </w:r>
      <w:r>
        <w:t xml:space="preserve">“</w:t>
      </w:r>
      <w:r>
        <w:t xml:space="preserve">spectrum</w:t>
      </w:r>
      <w:r>
        <w:t xml:space="preserve">”</w:t>
      </w:r>
      <w:r>
        <w:t xml:space="preserve"> </w:t>
      </w:r>
      <w:r>
        <w:t xml:space="preserve">of technical capabilities of power system resources with</w:t>
      </w:r>
      <w:r>
        <w:t xml:space="preserve"> </w:t>
      </w:r>
      <w:r>
        <w:t xml:space="preserve">respect to frequency control.</w:t>
      </w:r>
    </w:p>
    <w:p>
      <w:pPr>
        <w:pStyle w:val="BodyText"/>
      </w:pPr>
      <w:r>
        <w:t xml:space="preserve">Understanding the trade-offs in creating fungible new products is</w:t>
      </w:r>
      <w:r>
        <w:t xml:space="preserve"> </w:t>
      </w:r>
      <w:r>
        <w:t xml:space="preserve">important to frequency control service market design. For example, while</w:t>
      </w:r>
      <w:r>
        <w:t xml:space="preserve"> </w:t>
      </w:r>
      <w:r>
        <w:t xml:space="preserve">a new product may value and incentivise the provision of a particular</w:t>
      </w:r>
      <w:r>
        <w:t xml:space="preserve"> </w:t>
      </w:r>
      <w:r>
        <w:t xml:space="preserve">frequency response</w:t>
      </w:r>
      <w:r>
        <w:t xml:space="preserve"> </w:t>
      </w:r>
      <w:r>
        <w:t xml:space="preserve">(</w:t>
      </w:r>
      <w:hyperlink w:anchor="ref-Ela2012b">
        <w:r>
          <w:rPr>
            <w:rStyle w:val="Hyperlink"/>
            <w:bCs/>
            <w:b/>
          </w:rPr>
          <w:t xml:space="preserve">Ela2012b?</w:t>
        </w:r>
      </w:hyperlink>
      <w:r>
        <w:t xml:space="preserve">)</w:t>
      </w:r>
      <w:r>
        <w:t xml:space="preserve">, a market may not deliver a net benefit</w:t>
      </w:r>
      <w:r>
        <w:t xml:space="preserve"> </w:t>
      </w:r>
      <w:r>
        <w:t xml:space="preserve">if there is limited competition or the costs and complexity of</w:t>
      </w:r>
      <w:r>
        <w:t xml:space="preserve"> </w:t>
      </w:r>
      <w:r>
        <w:t xml:space="preserve">administering a market are significant</w:t>
      </w:r>
      <w:r>
        <w:t xml:space="preserve"> </w:t>
      </w:r>
      <w:r>
        <w:t xml:space="preserve">(</w:t>
      </w:r>
      <w:hyperlink w:anchor="ref-Rebours2007b">
        <w:r>
          <w:rPr>
            <w:rStyle w:val="Hyperlink"/>
            <w:bCs/>
            <w:b/>
          </w:rPr>
          <w:t xml:space="preserve">Rebours2007b?</w:t>
        </w:r>
      </w:hyperlink>
      <w:r>
        <w:t xml:space="preserve">;</w:t>
      </w:r>
      <w:r>
        <w:t xml:space="preserve"> </w:t>
      </w:r>
      <w:hyperlink w:anchor="ref-Ela2019">
        <w:r>
          <w:rPr>
            <w:rStyle w:val="Hyperlink"/>
            <w:bCs/>
            <w:b/>
          </w:rPr>
          <w:t xml:space="preserve">Ela2019?</w:t>
        </w:r>
      </w:hyperlink>
      <w:r>
        <w:t xml:space="preserve">)</w:t>
      </w:r>
      <w:r>
        <w:t xml:space="preserve">.</w:t>
      </w:r>
    </w:p>
    <w:bookmarkEnd w:id="87"/>
    <w:bookmarkStart w:id="88" w:name="price-formation."/>
    <w:p>
      <w:pPr>
        <w:pStyle w:val="Heading5"/>
      </w:pPr>
      <w:r>
        <w:rPr>
          <w:rStyle w:val="SectionNumber"/>
        </w:rPr>
        <w:t xml:space="preserve">4.9.1.4.2</w:t>
      </w:r>
      <w:r>
        <w:tab/>
      </w:r>
      <w:r>
        <w:t xml:space="preserve">Price formation.</w:t>
      </w:r>
    </w:p>
    <w:p>
      <w:pPr>
        <w:pStyle w:val="FirstParagraph"/>
      </w:pPr>
      <w:r>
        <w:t xml:space="preserve">Price formation is an unresolved issue within frequency control services</w:t>
      </w:r>
      <w:r>
        <w:t xml:space="preserve"> </w:t>
      </w:r>
      <w:r>
        <w:t xml:space="preserve">market design. Ideally, the price of provision should be explicit,</w:t>
      </w:r>
      <w:r>
        <w:t xml:space="preserve"> </w:t>
      </w:r>
      <w:r>
        <w:t xml:space="preserve">transparent and recognise the true value of the service alongside any</w:t>
      </w:r>
      <w:r>
        <w:t xml:space="preserve"> </w:t>
      </w:r>
      <w:r>
        <w:t xml:space="preserve">opportunity-costs incurred by the supplying participant. There are three</w:t>
      </w:r>
      <w:r>
        <w:t xml:space="preserve"> </w:t>
      </w:r>
      <w:r>
        <w:t xml:space="preserve">main issues that hamper efficient price formation and hence productive</w:t>
      </w:r>
      <w:r>
        <w:t xml:space="preserve"> </w:t>
      </w:r>
      <w:r>
        <w:t xml:space="preserve">and dynamically efficient market outcomes:</w:t>
      </w:r>
    </w:p>
    <w:p>
      <w:pPr>
        <w:numPr>
          <w:ilvl w:val="0"/>
          <w:numId w:val="1005"/>
        </w:numPr>
      </w:pPr>
      <w:r>
        <w:t xml:space="preserve">Frequency control products are arbitrarily defined by a system</w:t>
      </w:r>
      <w:r>
        <w:t xml:space="preserve"> </w:t>
      </w:r>
      <w:r>
        <w:t xml:space="preserve">operator and often procured in a single-sided market due to the</w:t>
      </w:r>
      <w:r>
        <w:t xml:space="preserve"> </w:t>
      </w:r>
      <w:r>
        <w:rPr>
          <w:iCs/>
          <w:i/>
        </w:rPr>
        <w:t xml:space="preserve">public good</w:t>
      </w:r>
      <w:r>
        <w:t xml:space="preserve"> </w:t>
      </w:r>
      <w:r>
        <w:t xml:space="preserve">nature of frequency control</w:t>
      </w:r>
      <w:r>
        <w:t xml:space="preserve"> </w:t>
      </w:r>
      <w:r>
        <w:t xml:space="preserve">(</w:t>
      </w:r>
      <w:hyperlink w:anchor="ref-Billimoria2020">
        <w:r>
          <w:rPr>
            <w:rStyle w:val="Hyperlink"/>
            <w:bCs/>
            <w:b/>
          </w:rPr>
          <w:t xml:space="preserve">Billimoria2020?</w:t>
        </w:r>
      </w:hyperlink>
      <w:r>
        <w:t xml:space="preserve">;</w:t>
      </w:r>
      <w:r>
        <w:t xml:space="preserve"> </w:t>
      </w:r>
      <w:hyperlink w:anchor="ref-Pollitt2019a">
        <w:r>
          <w:rPr>
            <w:rStyle w:val="Hyperlink"/>
            <w:bCs/>
            <w:b/>
          </w:rPr>
          <w:t xml:space="preserve">Pollitt2019a?</w:t>
        </w:r>
      </w:hyperlink>
      <w:r>
        <w:t xml:space="preserve">)</w:t>
      </w:r>
      <w:r>
        <w:t xml:space="preserve">. As such, the true value of these</w:t>
      </w:r>
      <w:r>
        <w:t xml:space="preserve"> </w:t>
      </w:r>
      <w:r>
        <w:t xml:space="preserve">services to power system users is not recognised</w:t>
      </w:r>
      <w:r>
        <w:t xml:space="preserve"> </w:t>
      </w:r>
      <w:r>
        <w:t xml:space="preserve">(</w:t>
      </w:r>
      <w:hyperlink w:anchor="ref-Rebours2007b">
        <w:r>
          <w:rPr>
            <w:rStyle w:val="Hyperlink"/>
            <w:bCs/>
            <w:b/>
          </w:rPr>
          <w:t xml:space="preserve">Rebours2007b?</w:t>
        </w:r>
      </w:hyperlink>
      <w:r>
        <w:t xml:space="preserve">)</w:t>
      </w:r>
      <w:r>
        <w:t xml:space="preserve">.</w:t>
      </w:r>
    </w:p>
    <w:p>
      <w:pPr>
        <w:numPr>
          <w:ilvl w:val="0"/>
          <w:numId w:val="1005"/>
        </w:numPr>
      </w:pPr>
      <w:r>
        <w:t xml:space="preserve">Furthermore, in co-optimised markets, there is a tension between the</w:t>
      </w:r>
      <w:r>
        <w:t xml:space="preserve"> </w:t>
      </w:r>
      <w:r>
        <w:t xml:space="preserve">relatively low opportunity costs of existing synchronous generation</w:t>
      </w:r>
      <w:r>
        <w:t xml:space="preserve"> </w:t>
      </w:r>
      <w:r>
        <w:t xml:space="preserve">providing frequency control services and the strong price signals</w:t>
      </w:r>
      <w:r>
        <w:t xml:space="preserve"> </w:t>
      </w:r>
      <w:r>
        <w:t xml:space="preserve">needed to incentivise new capabilities, particularly from high</w:t>
      </w:r>
      <w:r>
        <w:t xml:space="preserve"> </w:t>
      </w:r>
      <w:r>
        <w:t xml:space="preserve">capital, low operating cost inverter-based resources</w:t>
      </w:r>
      <w:r>
        <w:t xml:space="preserve"> </w:t>
      </w:r>
      <w:r>
        <w:t xml:space="preserve">(</w:t>
      </w:r>
      <w:hyperlink w:anchor="ref-Ela2019">
        <w:r>
          <w:rPr>
            <w:rStyle w:val="Hyperlink"/>
            <w:bCs/>
            <w:b/>
          </w:rPr>
          <w:t xml:space="preserve">Ela2019?</w:t>
        </w:r>
      </w:hyperlink>
      <w:r>
        <w:t xml:space="preserve">)</w:t>
      </w:r>
      <w:r>
        <w:t xml:space="preserve">.</w:t>
      </w:r>
    </w:p>
    <w:p>
      <w:pPr>
        <w:numPr>
          <w:ilvl w:val="0"/>
          <w:numId w:val="1005"/>
        </w:numPr>
      </w:pPr>
      <w:r>
        <w:t xml:space="preserve">Some products, such as inertia, may be</w:t>
      </w:r>
      <w:r>
        <w:t xml:space="preserve"> </w:t>
      </w:r>
      <w:r>
        <w:t xml:space="preserve">‘</w:t>
      </w:r>
      <w:r>
        <w:t xml:space="preserve">lumpy</w:t>
      </w:r>
      <w:r>
        <w:t xml:space="preserve">’</w:t>
      </w:r>
      <w:r>
        <w:t xml:space="preserve"> </w:t>
      </w:r>
      <w:r>
        <w:t xml:space="preserve">in their provision</w:t>
      </w:r>
      <w:r>
        <w:t xml:space="preserve"> </w:t>
      </w:r>
      <w:r>
        <w:t xml:space="preserve">and inseparable from other system security products</w:t>
      </w:r>
      <w:r>
        <w:t xml:space="preserve"> </w:t>
      </w:r>
      <w:r>
        <w:t xml:space="preserve">(</w:t>
      </w:r>
      <w:hyperlink w:anchor="ref-Billimoria2020">
        <w:r>
          <w:rPr>
            <w:rStyle w:val="Hyperlink"/>
            <w:bCs/>
            <w:b/>
          </w:rPr>
          <w:t xml:space="preserve">Billimoria2020?</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88"/>
    <w:bookmarkStart w:id="89" w:name="cost-allocation."/>
    <w:p>
      <w:pPr>
        <w:pStyle w:val="Heading5"/>
      </w:pPr>
      <w:r>
        <w:rPr>
          <w:rStyle w:val="SectionNumber"/>
        </w:rPr>
        <w:t xml:space="preserve">4.9.1.4.3</w:t>
      </w:r>
      <w:r>
        <w:tab/>
      </w:r>
      <w:r>
        <w:t xml:space="preserve">Cost allocation.</w:t>
      </w:r>
    </w:p>
    <w:p>
      <w:pPr>
        <w:pStyle w:val="FirstParagraph"/>
      </w:pPr>
      <w:r>
        <w:t xml:space="preserve">In many mandatory pool markets, the cost of frequency control services</w:t>
      </w:r>
      <w:r>
        <w:t xml:space="preserve"> </w:t>
      </w:r>
      <w:r>
        <w:t xml:space="preserve">procured by the system operator is allocated to loads, even though the</w:t>
      </w:r>
      <w:r>
        <w:t xml:space="preserve"> </w:t>
      </w:r>
      <w:r>
        <w:t xml:space="preserve">deviation of generation may cause the need for procurement in the first</w:t>
      </w:r>
      <w:r>
        <w:t xml:space="preserve"> </w:t>
      </w:r>
      <w:r>
        <w:t xml:space="preserve">place</w:t>
      </w:r>
      <w:r>
        <w:t xml:space="preserve"> </w:t>
      </w:r>
      <w:r>
        <w:t xml:space="preserve">(</w:t>
      </w:r>
      <w:hyperlink w:anchor="ref-Milligan2011a">
        <w:r>
          <w:rPr>
            <w:rStyle w:val="Hyperlink"/>
            <w:bCs/>
            <w:b/>
          </w:rPr>
          <w:t xml:space="preserve">Milligan2011a?</w:t>
        </w:r>
      </w:hyperlink>
      <w:r>
        <w:t xml:space="preserve">)</w:t>
      </w:r>
      <w:r>
        <w:t xml:space="preserve">. Australia’s NEM has a</w:t>
      </w:r>
      <w:r>
        <w:t xml:space="preserve"> </w:t>
      </w:r>
      <w:r>
        <w:t xml:space="preserve">‘</w:t>
      </w:r>
      <w:r>
        <w:t xml:space="preserve">Causer Pays</w:t>
      </w:r>
      <w:r>
        <w:t xml:space="preserve">’</w:t>
      </w:r>
      <w:r>
        <w:t xml:space="preserve"> </w:t>
      </w:r>
      <w:r>
        <w:t xml:space="preserve">cost</w:t>
      </w:r>
      <w:r>
        <w:t xml:space="preserve"> </w:t>
      </w:r>
      <w:r>
        <w:t xml:space="preserve">allocation framework in place for frequency control services procured</w:t>
      </w:r>
      <w:r>
        <w:t xml:space="preserve"> </w:t>
      </w:r>
      <w:r>
        <w:t xml:space="preserve">for contingency response and regulation, though the mechanism for the</w:t>
      </w:r>
      <w:r>
        <w:t xml:space="preserve"> </w:t>
      </w:r>
      <w:r>
        <w:t xml:space="preserve">latter suffers from a lack of transparency, complexity and fundamental</w:t>
      </w:r>
      <w:r>
        <w:t xml:space="preserve"> </w:t>
      </w:r>
      <w:r>
        <w:t xml:space="preserve">design flaws</w:t>
      </w:r>
      <w:r>
        <w:t xml:space="preserve"> </w:t>
      </w:r>
      <w:r>
        <w:t xml:space="preserve">(</w:t>
      </w:r>
      <w:hyperlink w:anchor="ref-Riesz2015b">
        <w:r>
          <w:rPr>
            <w:rStyle w:val="Hyperlink"/>
            <w:bCs/>
            <w:b/>
          </w:rPr>
          <w:t xml:space="preserve">Riesz2015b?</w:t>
        </w:r>
      </w:hyperlink>
      <w:r>
        <w:t xml:space="preserve">;</w:t>
      </w:r>
      <w:r>
        <w:t xml:space="preserve"> </w:t>
      </w:r>
      <w:hyperlink w:anchor="ref-AustralianEnergyMarketCommission2020">
        <w:r>
          <w:rPr>
            <w:rStyle w:val="Hyperlink"/>
            <w:bCs/>
            <w:b/>
          </w:rPr>
          <w:t xml:space="preserve">AustralianEnergyMarketCommission2020?</w:t>
        </w:r>
      </w:hyperlink>
      <w:r>
        <w:t xml:space="preserve">;</w:t>
      </w:r>
      <w:r>
        <w:t xml:space="preserve"> </w:t>
      </w:r>
      <w:hyperlink w:anchor="ref-AustralianEnergyRegulator2020">
        <w:r>
          <w:rPr>
            <w:rStyle w:val="Hyperlink"/>
            <w:bCs/>
            <w:b/>
          </w:rPr>
          <w:t xml:space="preserve">AustralianEnergyRegulator2020?</w:t>
        </w:r>
      </w:hyperlink>
      <w:r>
        <w:t xml:space="preserve">)</w:t>
      </w:r>
      <w:r>
        <w:t xml:space="preserve">.</w:t>
      </w:r>
      <w:r>
        <w:t xml:space="preserve"> </w:t>
      </w:r>
      <w:r>
        <w:t xml:space="preserve">Cost allocation could provide disincentives for undesirable behaviour,</w:t>
      </w:r>
      <w:r>
        <w:t xml:space="preserve"> </w:t>
      </w:r>
      <w:r>
        <w:t xml:space="preserve">such as deviation from SCED dispatch instruction, and create</w:t>
      </w:r>
      <w:r>
        <w:t xml:space="preserve"> </w:t>
      </w:r>
      <w:r>
        <w:t xml:space="preserve">counter-parties for hedging frequency control services price risk and</w:t>
      </w:r>
      <w:r>
        <w:t xml:space="preserve"> </w:t>
      </w:r>
      <w:r>
        <w:t xml:space="preserve">therefore assist in price formation</w:t>
      </w:r>
      <w:r>
        <w:t xml:space="preserve"> </w:t>
      </w:r>
      <w:r>
        <w:t xml:space="preserve">(</w:t>
      </w:r>
      <w:hyperlink w:anchor="ref-Thorncraft2007">
        <w:r>
          <w:rPr>
            <w:rStyle w:val="Hyperlink"/>
            <w:bCs/>
            <w:b/>
          </w:rPr>
          <w:t xml:space="preserve">Thorncraft2007?</w:t>
        </w:r>
      </w:hyperlink>
      <w:r>
        <w:t xml:space="preserve">)</w:t>
      </w:r>
      <w:r>
        <w:t xml:space="preserve">. As the power</w:t>
      </w:r>
      <w:r>
        <w:t xml:space="preserve"> </w:t>
      </w:r>
      <w:r>
        <w:t xml:space="preserve">system continues to transition, it may be possible to allocated costs</w:t>
      </w:r>
      <w:r>
        <w:t xml:space="preserve"> </w:t>
      </w:r>
      <w:r>
        <w:t xml:space="preserve">based on a</w:t>
      </w:r>
      <w:r>
        <w:t xml:space="preserve"> </w:t>
      </w:r>
      <w:r>
        <w:t xml:space="preserve">‘</w:t>
      </w:r>
      <w:r>
        <w:t xml:space="preserve">User Pays</w:t>
      </w:r>
      <w:r>
        <w:t xml:space="preserve">’</w:t>
      </w:r>
      <w:r>
        <w:t xml:space="preserve"> </w:t>
      </w:r>
      <w:r>
        <w:t xml:space="preserve">framework, whereby power system resources that</w:t>
      </w:r>
      <w:r>
        <w:t xml:space="preserve"> </w:t>
      </w:r>
      <w:r>
        <w:t xml:space="preserve">impose frequency zenith, nadir or RoCoF limits pay for frequency control</w:t>
      </w:r>
      <w:r>
        <w:t xml:space="preserve"> </w:t>
      </w:r>
      <w:r>
        <w:t xml:space="preserve">services</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bookmarkEnd w:id="89"/>
    <w:bookmarkStart w:id="90" w:name="ibr-participation."/>
    <w:p>
      <w:pPr>
        <w:pStyle w:val="Heading5"/>
      </w:pPr>
      <w:r>
        <w:rPr>
          <w:rStyle w:val="SectionNumber"/>
        </w:rPr>
        <w:t xml:space="preserve">4.9.1.4.4</w:t>
      </w:r>
      <w:r>
        <w:tab/>
      </w:r>
      <w:r>
        <w:t xml:space="preserve">IBR participation.</w:t>
      </w:r>
    </w:p>
    <w:p>
      <w:pPr>
        <w:pStyle w:val="FirstParagraph"/>
      </w:pPr>
      <w:r>
        <w:t xml:space="preserve">IBR cannot or do not participate in many frequency control services</w:t>
      </w:r>
      <w:r>
        <w:t xml:space="preserve"> </w:t>
      </w:r>
      <w:r>
        <w:t xml:space="preserve">markets. Historically, literature has focused on the impact of variable</w:t>
      </w:r>
      <w:r>
        <w:t xml:space="preserve"> </w:t>
      </w:r>
      <w:r>
        <w:t xml:space="preserve">IBR on frequency control-related integration costs and how these costs</w:t>
      </w:r>
      <w:r>
        <w:t xml:space="preserve"> </w:t>
      </w:r>
      <w:r>
        <w:t xml:space="preserve">can be minimised</w:t>
      </w:r>
      <w:r>
        <w:t xml:space="preserve"> </w:t>
      </w:r>
      <w:r>
        <w:t xml:space="preserve">(</w:t>
      </w:r>
      <w:hyperlink w:anchor="ref-Ela2011">
        <w:r>
          <w:rPr>
            <w:rStyle w:val="Hyperlink"/>
            <w:bCs/>
            <w:b/>
          </w:rPr>
          <w:t xml:space="preserve">Ela2011?</w:t>
        </w:r>
      </w:hyperlink>
      <w:r>
        <w:t xml:space="preserve">;</w:t>
      </w:r>
      <w:r>
        <w:t xml:space="preserve"> </w:t>
      </w:r>
      <w:hyperlink w:anchor="ref-Riesz2015b">
        <w:r>
          <w:rPr>
            <w:rStyle w:val="Hyperlink"/>
            <w:bCs/>
            <w:b/>
          </w:rPr>
          <w:t xml:space="preserve">Riesz2015b?</w:t>
        </w:r>
      </w:hyperlink>
      <w:r>
        <w:t xml:space="preserve">)</w:t>
      </w:r>
      <w:r>
        <w:t xml:space="preserve">. However, for reasons discussed</w:t>
      </w:r>
      <w:r>
        <w:t xml:space="preserve"> </w:t>
      </w:r>
      <w:r>
        <w:t xml:space="preserve">in</w:t>
      </w:r>
      <w:r>
        <w:t xml:space="preserve"> </w:t>
      </w:r>
      <w:hyperlink w:anchor="sec:ibr_freq">
        <w:r>
          <w:rPr>
            <w:rStyle w:val="Hyperlink"/>
          </w:rPr>
          <w:t xml:space="preserve">5</w:t>
        </w:r>
      </w:hyperlink>
      <w:r>
        <w:t xml:space="preserve"> </w:t>
      </w:r>
      <w:r>
        <w:t xml:space="preserve">and</w:t>
      </w:r>
      <w:r>
        <w:t xml:space="preserve"> </w:t>
      </w:r>
      <w:r>
        <w:t xml:space="preserve">as demonstrated by variable IBR frequency control trials</w:t>
      </w:r>
      <w:r>
        <w:t xml:space="preserve"> </w:t>
      </w:r>
      <w:r>
        <w:t xml:space="preserve">(</w:t>
      </w:r>
      <w:hyperlink w:anchor="ref-AEMO2018d">
        <w:r>
          <w:rPr>
            <w:rStyle w:val="Hyperlink"/>
            <w:bCs/>
            <w:b/>
          </w:rPr>
          <w:t xml:space="preserve">AEMO2018d?</w:t>
        </w:r>
      </w:hyperlink>
      <w:r>
        <w:t xml:space="preserve">;</w:t>
      </w:r>
      <w:r>
        <w:t xml:space="preserve"> </w:t>
      </w:r>
      <w:hyperlink w:anchor="ref-Loutan2017">
        <w:r>
          <w:rPr>
            <w:rStyle w:val="Hyperlink"/>
            <w:bCs/>
            <w:b/>
          </w:rPr>
          <w:t xml:space="preserve">Loutan2017?</w:t>
        </w:r>
      </w:hyperlink>
      <w:r>
        <w:t xml:space="preserve">)</w:t>
      </w:r>
      <w:r>
        <w:t xml:space="preserve"> </w:t>
      </w:r>
      <w:r>
        <w:t xml:space="preserve">and the provision of frequency control</w:t>
      </w:r>
      <w:r>
        <w:t xml:space="preserve"> </w:t>
      </w:r>
      <w:r>
        <w:t xml:space="preserve">services by BESS</w:t>
      </w:r>
      <w:r>
        <w:t xml:space="preserve"> </w:t>
      </w:r>
      <w:r>
        <w:t xml:space="preserve">(</w:t>
      </w:r>
      <w:hyperlink w:anchor="ref-AustralianEnergyMarketOperator2018i">
        <w:r>
          <w:rPr>
            <w:rStyle w:val="Hyperlink"/>
            <w:bCs/>
            <w:b/>
          </w:rPr>
          <w:t xml:space="preserve">AustralianEnergyMarketOperator2018i?</w:t>
        </w:r>
      </w:hyperlink>
      <w:r>
        <w:t xml:space="preserve">)</w:t>
      </w:r>
      <w:r>
        <w:t xml:space="preserve">, there is both a</w:t>
      </w:r>
      <w:r>
        <w:t xml:space="preserve"> </w:t>
      </w:r>
      <w:r>
        <w:t xml:space="preserve">growing need for and benefit to IBR providing frequency control</w:t>
      </w:r>
      <w:r>
        <w:t xml:space="preserve"> </w:t>
      </w:r>
      <w:r>
        <w:t xml:space="preserve">services. In markets such as Australia’s NEM, many IBR can participate</w:t>
      </w:r>
      <w:r>
        <w:t xml:space="preserve"> </w:t>
      </w:r>
      <w:r>
        <w:t xml:space="preserve">in frequency control services markets but choose not to as their</w:t>
      </w:r>
      <w:r>
        <w:t xml:space="preserve"> </w:t>
      </w:r>
      <w:r>
        <w:t xml:space="preserve">business models rely on revenue from energy provision and the</w:t>
      </w:r>
      <w:r>
        <w:t xml:space="preserve"> </w:t>
      </w:r>
      <w:r>
        <w:t xml:space="preserve">opportunity-cost of participation is too high</w:t>
      </w:r>
      <w:r>
        <w:t xml:space="preserve"> </w:t>
      </w:r>
      <w:r>
        <w:t xml:space="preserve">(</w:t>
      </w:r>
      <w:hyperlink w:anchor="ref-AEMO2018d">
        <w:r>
          <w:rPr>
            <w:rStyle w:val="Hyperlink"/>
            <w:bCs/>
            <w:b/>
          </w:rPr>
          <w:t xml:space="preserve">AEMO2018d?</w:t>
        </w:r>
      </w:hyperlink>
      <w:r>
        <w:t xml:space="preserve">)</w:t>
      </w:r>
      <w:r>
        <w:t xml:space="preserve">. An active</w:t>
      </w:r>
      <w:r>
        <w:t xml:space="preserve"> </w:t>
      </w:r>
      <w:r>
        <w:t xml:space="preserve">area of interest is designing frequency control services markets and the</w:t>
      </w:r>
      <w:r>
        <w:t xml:space="preserve"> </w:t>
      </w:r>
      <w:r>
        <w:t xml:space="preserve">revenue earned within them to incentivise IBR participation and</w:t>
      </w:r>
      <w:r>
        <w:t xml:space="preserve"> </w:t>
      </w:r>
      <w:r>
        <w:t xml:space="preserve">investment in frequency control capabilities, particularly as system</w:t>
      </w:r>
      <w:r>
        <w:t xml:space="preserve"> </w:t>
      </w:r>
      <w:r>
        <w:t xml:space="preserve">security requirements change over time and as high instantaneous IBR</w:t>
      </w:r>
      <w:r>
        <w:t xml:space="preserve"> </w:t>
      </w:r>
      <w:r>
        <w:t xml:space="preserve">penetrations are often associated with low energy prices</w:t>
      </w:r>
      <w:r>
        <w:t xml:space="preserve"> </w:t>
      </w:r>
      <w:r>
        <w:t xml:space="preserve">(</w:t>
      </w:r>
      <w:hyperlink w:anchor="ref-Ela2019">
        <w:r>
          <w:rPr>
            <w:rStyle w:val="Hyperlink"/>
            <w:bCs/>
            <w:b/>
          </w:rPr>
          <w:t xml:space="preserve">Ela2019?</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90"/>
    <w:bookmarkEnd w:id="91"/>
    <w:bookmarkEnd w:id="92"/>
    <w:bookmarkStart w:id="97" w:name="sec:regulatory_mech"/>
    <w:p>
      <w:pPr>
        <w:pStyle w:val="Heading3"/>
      </w:pPr>
      <w:r>
        <w:rPr>
          <w:rStyle w:val="SectionNumber"/>
        </w:rPr>
        <w:t xml:space="preserve">4.9.2</w:t>
      </w:r>
      <w:r>
        <w:tab/>
      </w:r>
      <w:r>
        <w:t xml:space="preserve">Regulatory mechanisms</w:t>
      </w:r>
    </w:p>
    <w:p>
      <w:pPr>
        <w:pStyle w:val="FirstParagraph"/>
      </w:pPr>
      <w:r>
        <w:t xml:space="preserve">Regulatory mechanisms, such as equipment technical standards, grid codes</w:t>
      </w:r>
      <w:r>
        <w:t xml:space="preserve"> </w:t>
      </w:r>
      <w:r>
        <w:t xml:space="preserve">and system operator intervention, were used by monopoly electric</w:t>
      </w:r>
      <w:r>
        <w:t xml:space="preserve"> </w:t>
      </w:r>
      <w:r>
        <w:t xml:space="preserve">utilities and system operators to procure sufficient frequency control</w:t>
      </w:r>
      <w:r>
        <w:t xml:space="preserve"> </w:t>
      </w:r>
      <w:r>
        <w:t xml:space="preserve">response prior to implementation of frequency control services markets.</w:t>
      </w:r>
      <w:r>
        <w:t xml:space="preserve"> </w:t>
      </w:r>
      <w:r>
        <w:t xml:space="preserve">Even now, regulatory mechanisms are used in conjunction with</w:t>
      </w:r>
      <w:r>
        <w:t xml:space="preserve"> </w:t>
      </w:r>
      <w:r>
        <w:t xml:space="preserve">market-based mechanisms to procure frequency control services. In fact,</w:t>
      </w:r>
      <w:r>
        <w:t xml:space="preserve"> </w:t>
      </w:r>
      <w:r>
        <w:t xml:space="preserve">the processes of designing and regulating market rules are in and of</w:t>
      </w:r>
      <w:r>
        <w:t xml:space="preserve"> </w:t>
      </w:r>
      <w:r>
        <w:t xml:space="preserve">themselves regulatory mechanisms</w:t>
      </w:r>
      <w:r>
        <w:t xml:space="preserve"> </w:t>
      </w:r>
      <w:r>
        <w:t xml:space="preserve">(</w:t>
      </w:r>
      <w:hyperlink w:anchor="ref-Sioshansi2006">
        <w:r>
          <w:rPr>
            <w:rStyle w:val="Hyperlink"/>
            <w:bCs/>
            <w:b/>
          </w:rPr>
          <w:t xml:space="preserve">Sioshansi2006?</w:t>
        </w:r>
      </w:hyperlink>
      <w:r>
        <w:t xml:space="preserve">)</w:t>
      </w:r>
      <w:r>
        <w:t xml:space="preserve">.</w:t>
      </w:r>
    </w:p>
    <w:bookmarkStart w:id="93" w:name="X3391760bd5fbf7a4e8180a9b9428c88ad1dc1e6"/>
    <w:p>
      <w:pPr>
        <w:pStyle w:val="Heading4"/>
      </w:pPr>
      <w:r>
        <w:rPr>
          <w:rStyle w:val="SectionNumber"/>
        </w:rPr>
        <w:t xml:space="preserve">4.9.2.1</w:t>
      </w:r>
      <w:r>
        <w:tab/>
      </w:r>
      <w:r>
        <w:t xml:space="preserve">Potential benefits of regulatory mechanisms</w:t>
      </w:r>
    </w:p>
    <w:p>
      <w:pPr>
        <w:pStyle w:val="FirstParagraph"/>
      </w:pPr>
      <w:r>
        <w:t xml:space="preserve">Regulatory mechanisms are ideal for mandating basic frequency control</w:t>
      </w:r>
      <w:r>
        <w:t xml:space="preserve"> </w:t>
      </w:r>
      <w:r>
        <w:t xml:space="preserve">capabilities as a condition for access or where markets may be difficult</w:t>
      </w:r>
      <w:r>
        <w:t xml:space="preserve"> </w:t>
      </w:r>
      <w:r>
        <w:t xml:space="preserve">to design or suffer from major flaws such as a concentration of market</w:t>
      </w:r>
      <w:r>
        <w:t xml:space="preserve"> </w:t>
      </w:r>
      <w:r>
        <w:t xml:space="preserve">power, oversupply of a product or the issues discussed in</w:t>
      </w:r>
      <w:r>
        <w:t xml:space="preserve"> </w:t>
      </w:r>
      <w:hyperlink w:anchor="sec:challgnes_fcas_markets">
        <w:r>
          <w:rPr>
            <w:rStyle w:val="Hyperlink"/>
          </w:rPr>
          <w:t xml:space="preserve">6.1.4</w:t>
        </w:r>
      </w:hyperlink>
      <w:r>
        <w:t xml:space="preserve"> </w:t>
      </w:r>
      <w:r>
        <w:t xml:space="preserve">(</w:t>
      </w:r>
      <w:hyperlink w:anchor="ref-Ela2012b">
        <w:r>
          <w:rPr>
            <w:rStyle w:val="Hyperlink"/>
            <w:bCs/>
            <w:b/>
          </w:rPr>
          <w:t xml:space="preserve">Ela2012b?</w:t>
        </w:r>
      </w:hyperlink>
      <w:r>
        <w:t xml:space="preserve">)</w:t>
      </w:r>
      <w:r>
        <w:t xml:space="preserve">.</w:t>
      </w:r>
    </w:p>
    <w:bookmarkEnd w:id="93"/>
    <w:bookmarkStart w:id="94" w:name="shortfalls-of-regulatory-mechanisms"/>
    <w:p>
      <w:pPr>
        <w:pStyle w:val="Heading4"/>
      </w:pPr>
      <w:r>
        <w:rPr>
          <w:rStyle w:val="SectionNumber"/>
        </w:rPr>
        <w:t xml:space="preserve">4.9.2.2</w:t>
      </w:r>
      <w:r>
        <w:tab/>
      </w:r>
      <w:r>
        <w:t xml:space="preserve">Shortfalls of regulatory mechanisms</w:t>
      </w:r>
    </w:p>
    <w:p>
      <w:pPr>
        <w:pStyle w:val="FirstParagraph"/>
      </w:pPr>
      <w:r>
        <w:t xml:space="preserve">It may be difficult for regulatory mechanisms to ensure that sufficient</w:t>
      </w:r>
      <w:r>
        <w:t xml:space="preserve"> </w:t>
      </w:r>
      <w:r>
        <w:t xml:space="preserve">frequency control services can be procured in power systems and</w:t>
      </w:r>
      <w:r>
        <w:t xml:space="preserve"> </w:t>
      </w:r>
      <w:r>
        <w:t xml:space="preserve">electricity markets that are rapidly facing more power electronic-based</w:t>
      </w:r>
      <w:r>
        <w:t xml:space="preserve"> </w:t>
      </w:r>
      <w:r>
        <w:t xml:space="preserve">control systems, lower levels of operational inertial response and</w:t>
      </w:r>
      <w:r>
        <w:t xml:space="preserve"> </w:t>
      </w:r>
      <w:r>
        <w:t xml:space="preserve">higher variability and uncertainty of different scales and nature.</w:t>
      </w:r>
      <w:r>
        <w:t xml:space="preserve"> </w:t>
      </w:r>
      <w:r>
        <w:t xml:space="preserve">Prescriptive regulatory mechanisms, such as grid codes, are often only</w:t>
      </w:r>
      <w:r>
        <w:t xml:space="preserve"> </w:t>
      </w:r>
      <w:r>
        <w:t xml:space="preserve">updated after a number of years to reduce the compliance burden placed</w:t>
      </w:r>
      <w:r>
        <w:t xml:space="preserve"> </w:t>
      </w:r>
      <w:r>
        <w:t xml:space="preserve">on connecting generators and loads. As such, they are slow to respond to</w:t>
      </w:r>
      <w:r>
        <w:t xml:space="preserve"> </w:t>
      </w:r>
      <w:r>
        <w:t xml:space="preserve">changing frequency control capabilities and requirements. This delay can</w:t>
      </w:r>
      <w:r>
        <w:t xml:space="preserve"> </w:t>
      </w:r>
      <w:r>
        <w:t xml:space="preserve">make new standards and requirements reactive rather than proactive. For</w:t>
      </w:r>
      <w:r>
        <w:t xml:space="preserve"> </w:t>
      </w:r>
      <w:r>
        <w:t xml:space="preserve">example, AEMO can only review generator technical performance standards</w:t>
      </w:r>
      <w:r>
        <w:t xml:space="preserve"> </w:t>
      </w:r>
      <w:r>
        <w:t xml:space="preserve">every 5 years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a timeframe in</w:t>
      </w:r>
      <w:r>
        <w:t xml:space="preserve"> </w:t>
      </w:r>
      <w:r>
        <w:t xml:space="preserve">which the solar PV capacity installed in the NEM has more than tripled</w:t>
      </w:r>
      <w:r>
        <w:t xml:space="preserve"> </w:t>
      </w:r>
      <w:r>
        <w:t xml:space="preserve">(2014-2019)</w:t>
      </w:r>
      <w:r>
        <w:t xml:space="preserve"> </w:t>
      </w:r>
      <w:r>
        <w:t xml:space="preserve">(</w:t>
      </w:r>
      <w:hyperlink w:anchor="ref-AustralianPVInstitute">
        <w:r>
          <w:rPr>
            <w:rStyle w:val="Hyperlink"/>
            <w:bCs/>
            <w:b/>
          </w:rPr>
          <w:t xml:space="preserve">AustralianPVInstitute?</w:t>
        </w:r>
      </w:hyperlink>
      <w:r>
        <w:t xml:space="preserve">)</w:t>
      </w:r>
      <w:r>
        <w:t xml:space="preserve">.</w:t>
      </w:r>
    </w:p>
    <w:bookmarkEnd w:id="94"/>
    <w:bookmarkStart w:id="95" w:name="X0f25f8752eaf04aa0cbe7d2ab0790d3724a816d"/>
    <w:p>
      <w:pPr>
        <w:pStyle w:val="Heading4"/>
      </w:pPr>
      <w:r>
        <w:rPr>
          <w:rStyle w:val="SectionNumber"/>
        </w:rPr>
        <w:t xml:space="preserve">4.9.2.3</w:t>
      </w:r>
      <w:r>
        <w:tab/>
      </w:r>
      <w:r>
        <w:t xml:space="preserve">Regulatory requirements as a solution to market failures</w:t>
      </w:r>
    </w:p>
    <w:p>
      <w:pPr>
        <w:pStyle w:val="FirstParagraph"/>
      </w:pPr>
      <w:r>
        <w:t xml:space="preserve">Regulatory mechanisms are being increasingly used in power system</w:t>
      </w:r>
      <w:r>
        <w:t xml:space="preserve"> </w:t>
      </w:r>
      <w:r>
        <w:t xml:space="preserve">jurisdictions where frequency control services markets have failed to</w:t>
      </w:r>
      <w:r>
        <w:t xml:space="preserve"> </w:t>
      </w:r>
      <w:r>
        <w:t xml:space="preserve">incentivise or procure or appropriate capabilities and services, or</w:t>
      </w:r>
      <w:r>
        <w:t xml:space="preserve"> </w:t>
      </w:r>
      <w:r>
        <w:t xml:space="preserve">where there is significant uncertainty around frequency response from</w:t>
      </w:r>
      <w:r>
        <w:t xml:space="preserve"> </w:t>
      </w:r>
      <w:r>
        <w:t xml:space="preserve">generation. For example, several power systems, including the Australian</w:t>
      </w:r>
      <w:r>
        <w:t xml:space="preserve"> </w:t>
      </w:r>
      <w:r>
        <w:t xml:space="preserve">NEM, have mandated some degree of PFC provision from connected</w:t>
      </w:r>
      <w:r>
        <w:t xml:space="preserve"> </w:t>
      </w:r>
      <w:r>
        <w:t xml:space="preserve">generators in their grid codes or market rules</w:t>
      </w:r>
      <w:r>
        <w:t xml:space="preserve"> </w:t>
      </w:r>
      <w:r>
        <w:t xml:space="preserve">(</w:t>
      </w:r>
      <w:hyperlink w:anchor="ref-AustralianEnergyMarketCommission2020">
        <w:r>
          <w:rPr>
            <w:rStyle w:val="Hyperlink"/>
            <w:bCs/>
            <w:b/>
          </w:rPr>
          <w:t xml:space="preserve">AustralianEnergyMarketCommission2020?</w:t>
        </w:r>
      </w:hyperlink>
      <w:r>
        <w:t xml:space="preserve">;</w:t>
      </w:r>
      <w:r>
        <w:t xml:space="preserve"> </w:t>
      </w:r>
      <w:hyperlink w:anchor="ref-Roberts2018">
        <w:r>
          <w:rPr>
            <w:rStyle w:val="Hyperlink"/>
            <w:bCs/>
            <w:b/>
          </w:rPr>
          <w:t xml:space="preserve">Roberts2018?</w:t>
        </w:r>
      </w:hyperlink>
      <w:r>
        <w:t xml:space="preserve">)</w:t>
      </w:r>
      <w:r>
        <w:t xml:space="preserve">. Similarly,</w:t>
      </w:r>
      <w:r>
        <w:t xml:space="preserve"> </w:t>
      </w:r>
      <w:r>
        <w:t xml:space="preserve">frequency response has also been specified as a requirement for new</w:t>
      </w:r>
      <w:r>
        <w:t xml:space="preserve"> </w:t>
      </w:r>
      <w:r>
        <w:t xml:space="preserve">generation (primarily IBR) to access and connect to the NEM and ISO/RTO</w:t>
      </w:r>
      <w:r>
        <w:t xml:space="preserve"> </w:t>
      </w:r>
      <w:r>
        <w:t xml:space="preserve">markets in the U.S.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w:t>
      </w:r>
      <w:hyperlink w:anchor="X5a03490581796d3b520e35df43ea26b7e4a4ec7">
        <w:r>
          <w:rPr>
            <w:rStyle w:val="Hyperlink"/>
            <w:bCs/>
            <w:b/>
          </w:rPr>
          <w:t xml:space="preserve">FederalEnergyRegulatoryCommissionFERC2018?</w:t>
        </w:r>
      </w:hyperlink>
      <w:r>
        <w:t xml:space="preserve">)</w:t>
      </w:r>
      <w:r>
        <w:t xml:space="preserve">.</w:t>
      </w:r>
    </w:p>
    <w:bookmarkEnd w:id="95"/>
    <w:bookmarkStart w:id="96" w:name="role-of-regulatory-mechanisms"/>
    <w:p>
      <w:pPr>
        <w:pStyle w:val="Heading4"/>
      </w:pPr>
      <w:r>
        <w:rPr>
          <w:rStyle w:val="SectionNumber"/>
        </w:rPr>
        <w:t xml:space="preserve">4.9.2.4</w:t>
      </w:r>
      <w:r>
        <w:tab/>
      </w:r>
      <w:r>
        <w:t xml:space="preserve">Role of regulatory mechanisms</w:t>
      </w:r>
    </w:p>
    <w:p>
      <w:pPr>
        <w:pStyle w:val="FirstParagraph"/>
      </w:pPr>
      <w:r>
        <w:t xml:space="preserve">Though processes across several jurisdictions are underway to address</w:t>
      </w:r>
      <w:r>
        <w:t xml:space="preserve"> </w:t>
      </w:r>
      <w:r>
        <w:t xml:space="preserve">frequency control services market deficiencies (e.g. the Australian</w:t>
      </w:r>
      <w:r>
        <w:t xml:space="preserve"> </w:t>
      </w:r>
      <w:r>
        <w:t xml:space="preserve">NEM’s post-2025 market design project</w:t>
      </w:r>
      <w:r>
        <w:t xml:space="preserve"> </w:t>
      </w:r>
      <w:r>
        <w:t xml:space="preserve">(</w:t>
      </w:r>
      <w:hyperlink w:anchor="ref-EnergySecurityBoard2020">
        <w:r>
          <w:rPr>
            <w:rStyle w:val="Hyperlink"/>
            <w:bCs/>
            <w:b/>
          </w:rPr>
          <w:t xml:space="preserve">EnergySecurityBoard2020?</w:t>
        </w:r>
      </w:hyperlink>
      <w:r>
        <w:t xml:space="preserve">)</w:t>
      </w:r>
      <w:r>
        <w:t xml:space="preserve">, the</w:t>
      </w:r>
      <w:r>
        <w:t xml:space="preserve"> </w:t>
      </w:r>
      <w:r>
        <w:t xml:space="preserve">Electric Reliability Council of Texas’ (ERCOT) Nodal Protocol Revision</w:t>
      </w:r>
      <w:r>
        <w:t xml:space="preserve"> </w:t>
      </w:r>
      <w:r>
        <w:t xml:space="preserve">Request</w:t>
      </w:r>
      <w:r>
        <w:t xml:space="preserve"> </w:t>
      </w:r>
      <w:r>
        <w:t xml:space="preserve">(</w:t>
      </w:r>
      <w:hyperlink w:anchor="ref-Ela2019">
        <w:r>
          <w:rPr>
            <w:rStyle w:val="Hyperlink"/>
            <w:bCs/>
            <w:b/>
          </w:rPr>
          <w:t xml:space="preserve">Ela2019?</w:t>
        </w:r>
      </w:hyperlink>
      <w:r>
        <w:t xml:space="preserve">)</w:t>
      </w:r>
      <w:r>
        <w:t xml:space="preserve"> </w:t>
      </w:r>
      <w:r>
        <w:t xml:space="preserve">and the EU-SysFlex project</w:t>
      </w:r>
      <w:r>
        <w:t xml:space="preserve"> </w:t>
      </w:r>
      <w:r>
        <w:t xml:space="preserve">(</w:t>
      </w:r>
      <w:hyperlink w:anchor="ref-EU-SysFlex2019">
        <w:r>
          <w:rPr>
            <w:rStyle w:val="Hyperlink"/>
            <w:bCs/>
            <w:b/>
          </w:rPr>
          <w:t xml:space="preserve">EU-SysFlex2019?</w:t>
        </w:r>
      </w:hyperlink>
      <w:r>
        <w:t xml:space="preserve">)</w:t>
      </w:r>
      <w:r>
        <w:t xml:space="preserve">), there</w:t>
      </w:r>
      <w:r>
        <w:t xml:space="preserve"> </w:t>
      </w:r>
      <w:r>
        <w:t xml:space="preserve">has been relatively little work around what role regulatory mechanisms</w:t>
      </w:r>
      <w:r>
        <w:t xml:space="preserve"> </w:t>
      </w:r>
      <w:r>
        <w:t xml:space="preserve">may play, how they interact with market-based mechanisms and the</w:t>
      </w:r>
      <w:r>
        <w:t xml:space="preserve"> </w:t>
      </w:r>
      <w:r>
        <w:t xml:space="preserve">relative benefits and costs of further frequency control services</w:t>
      </w:r>
      <w:r>
        <w:t xml:space="preserve"> </w:t>
      </w:r>
      <w:r>
        <w:t xml:space="preserve">marketisation, both now and into the future.</w:t>
      </w:r>
    </w:p>
    <w:bookmarkEnd w:id="96"/>
    <w:bookmarkEnd w:id="97"/>
    <w:bookmarkEnd w:id="98"/>
    <w:bookmarkStart w:id="116" w:name="sec:designing_arrangements"/>
    <w:p>
      <w:pPr>
        <w:pStyle w:val="Heading2"/>
      </w:pPr>
      <w:r>
        <w:rPr>
          <w:rStyle w:val="SectionNumber"/>
        </w:rPr>
        <w:t xml:space="preserve">4.10</w:t>
      </w:r>
      <w:r>
        <w:tab/>
      </w:r>
      <w:r>
        <w:t xml:space="preserve">Designing frequency control arrangements</w:t>
      </w:r>
    </w:p>
    <w:p>
      <w:pPr>
        <w:pStyle w:val="FirstParagraph"/>
      </w:pPr>
      <w:r>
        <w:t xml:space="preserve">Designing frequency control arrangements is a control, regulatory and</w:t>
      </w:r>
      <w:r>
        <w:t xml:space="preserve"> </w:t>
      </w:r>
      <w:r>
        <w:t xml:space="preserve">market design problem which has become more complex in recent years due</w:t>
      </w:r>
      <w:r>
        <w:t xml:space="preserve"> </w:t>
      </w:r>
      <w:r>
        <w:t xml:space="preserve">to electricity industry restructuring and growing penetrations of IBR</w:t>
      </w:r>
      <w:r>
        <w:t xml:space="preserve"> </w:t>
      </w:r>
      <w:r>
        <w:t xml:space="preserve">(</w:t>
      </w:r>
      <w:hyperlink w:anchor="ref-VanderVeen2016">
        <w:r>
          <w:rPr>
            <w:rStyle w:val="Hyperlink"/>
            <w:bCs/>
            <w:b/>
          </w:rPr>
          <w:t xml:space="preserve">VanderVeen2016?</w:t>
        </w:r>
      </w:hyperlink>
      <w:r>
        <w:t xml:space="preserve">)</w:t>
      </w:r>
      <w:r>
        <w:t xml:space="preserve">.</w:t>
      </w:r>
    </w:p>
    <w:bookmarkStart w:id="99" w:name="outcomes-of-good-design"/>
    <w:p>
      <w:pPr>
        <w:pStyle w:val="Heading3"/>
      </w:pPr>
      <w:r>
        <w:rPr>
          <w:rStyle w:val="SectionNumber"/>
        </w:rPr>
        <w:t xml:space="preserve">4.10.1</w:t>
      </w:r>
      <w:r>
        <w:tab/>
      </w:r>
      <w:r>
        <w:t xml:space="preserve">Outcomes of good design</w:t>
      </w:r>
    </w:p>
    <w:p>
      <w:pPr>
        <w:pStyle w:val="FirstParagraph"/>
      </w:pPr>
      <w:r>
        <w:t xml:space="preserve">It is important to define desired outcomes of the design process. Below,</w:t>
      </w:r>
      <w:r>
        <w:t xml:space="preserve"> </w:t>
      </w:r>
      <w:r>
        <w:t xml:space="preserve">we present three outcomes that have previously been proposed for</w:t>
      </w:r>
      <w:r>
        <w:t xml:space="preserve"> </w:t>
      </w:r>
      <w:r>
        <w:t xml:space="preserve">designing ancillary/system services arrangements (including frequency</w:t>
      </w:r>
      <w:r>
        <w:t xml:space="preserve"> </w:t>
      </w:r>
      <w:r>
        <w:t xml:space="preserve">control arrangements) by</w:t>
      </w:r>
      <w:r>
        <w:t xml:space="preserve"> </w:t>
      </w:r>
      <w:r>
        <w:t xml:space="preserve">(</w:t>
      </w:r>
      <w:hyperlink w:anchor="ref-Rebours2007b">
        <w:r>
          <w:rPr>
            <w:rStyle w:val="Hyperlink"/>
            <w:bCs/>
            <w:b/>
          </w:rPr>
          <w:t xml:space="preserve">Rebours2007b?</w:t>
        </w:r>
      </w:hyperlink>
      <w:r>
        <w:t xml:space="preserve">)</w:t>
      </w:r>
      <w:r>
        <w:t xml:space="preserve"> </w:t>
      </w:r>
      <w:r>
        <w:t xml:space="preserve">and the</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p>
      <w:pPr>
        <w:numPr>
          <w:ilvl w:val="0"/>
          <w:numId w:val="1006"/>
        </w:numPr>
      </w:pPr>
      <w:r>
        <w:rPr>
          <w:bCs/>
          <w:b/>
        </w:rPr>
        <w:t xml:space="preserve">Effectiveness</w:t>
      </w:r>
      <w:r>
        <w:t xml:space="preserve">. This entails both sufficient quantity and</w:t>
      </w:r>
      <w:r>
        <w:t xml:space="preserve"> </w:t>
      </w:r>
      <w:r>
        <w:t xml:space="preserve">performance of procured frequency control services to ensure that</w:t>
      </w:r>
      <w:r>
        <w:t xml:space="preserve"> </w:t>
      </w:r>
      <w:r>
        <w:t xml:space="preserve">power system security requirements are met.</w:t>
      </w:r>
    </w:p>
    <w:p>
      <w:pPr>
        <w:numPr>
          <w:ilvl w:val="0"/>
          <w:numId w:val="1006"/>
        </w:numPr>
      </w:pPr>
      <w:r>
        <w:rPr>
          <w:bCs/>
          <w:b/>
        </w:rPr>
        <w:t xml:space="preserve">Efficiency</w:t>
      </w:r>
      <w:r>
        <w:t xml:space="preserve">. Efficient frequency control arrangements will</w:t>
      </w:r>
      <w:r>
        <w:t xml:space="preserve"> </w:t>
      </w:r>
      <w:r>
        <w:t xml:space="preserve">procure services at the lowest cost to the system, both now</w:t>
      </w:r>
      <w:r>
        <w:t xml:space="preserve"> </w:t>
      </w:r>
      <w:r>
        <w:t xml:space="preserve">(productive efficiency) and into the future (dynamic efficiency).</w:t>
      </w:r>
      <w:r>
        <w:t xml:space="preserve"> </w:t>
      </w:r>
      <w:r>
        <w:t xml:space="preserve">Furthermore, efficient arrangements should also procure the right</w:t>
      </w:r>
      <w:r>
        <w:t xml:space="preserve"> </w:t>
      </w:r>
      <w:r>
        <w:t xml:space="preserve">mix of services according to user and/or system needs (</w:t>
      </w:r>
      <w:r>
        <w:rPr>
          <w:iCs/>
          <w:i/>
        </w:rPr>
        <w:t xml:space="preserve">allocative</w:t>
      </w:r>
      <w:r>
        <w:rPr>
          <w:iCs/>
          <w:i/>
        </w:rPr>
        <w:t xml:space="preserve"> </w:t>
      </w:r>
      <w:r>
        <w:rPr>
          <w:iCs/>
          <w:i/>
        </w:rPr>
        <w:t xml:space="preserve">efficiency</w:t>
      </w:r>
      <w:r>
        <w:t xml:space="preserve">).</w:t>
      </w:r>
    </w:p>
    <w:p>
      <w:pPr>
        <w:numPr>
          <w:ilvl w:val="0"/>
          <w:numId w:val="1006"/>
        </w:numPr>
      </w:pPr>
      <w:r>
        <w:rPr>
          <w:bCs/>
          <w:b/>
        </w:rPr>
        <w:t xml:space="preserve">Minimising procurement costs and complexity</w:t>
      </w:r>
      <w:r>
        <w:t xml:space="preserve">. Procurement and</w:t>
      </w:r>
      <w:r>
        <w:t xml:space="preserve"> </w:t>
      </w:r>
      <w:r>
        <w:t xml:space="preserve">verification of delivery of frequency control services may involve</w:t>
      </w:r>
      <w:r>
        <w:t xml:space="preserve"> </w:t>
      </w:r>
      <w:r>
        <w:t xml:space="preserve">significant costs associated with facilitation and monitoring. This</w:t>
      </w:r>
      <w:r>
        <w:t xml:space="preserve"> </w:t>
      </w:r>
      <w:r>
        <w:t xml:space="preserve">could include metering equipment, IT systems and additional staffing</w:t>
      </w:r>
      <w:r>
        <w:t xml:space="preserve"> </w:t>
      </w:r>
      <w:r>
        <w:t xml:space="preserve">costs. Complex procurement arrangements may also have unintended and</w:t>
      </w:r>
      <w:r>
        <w:t xml:space="preserve"> </w:t>
      </w:r>
      <w:r>
        <w:t xml:space="preserve">unforeseen consequences on processes and markets that interface with</w:t>
      </w:r>
      <w:r>
        <w:t xml:space="preserve"> </w:t>
      </w:r>
      <w:r>
        <w:t xml:space="preserve">these arrangements, such as the energy market and other ancillary</w:t>
      </w:r>
      <w:r>
        <w:t xml:space="preserve"> </w:t>
      </w:r>
      <w:r>
        <w:t xml:space="preserve">services markets.</w:t>
      </w:r>
    </w:p>
    <w:bookmarkEnd w:id="99"/>
    <w:bookmarkStart w:id="104" w:name="complexity-of-the-design-process"/>
    <w:p>
      <w:pPr>
        <w:pStyle w:val="Heading3"/>
      </w:pPr>
      <w:r>
        <w:rPr>
          <w:rStyle w:val="SectionNumber"/>
        </w:rPr>
        <w:t xml:space="preserve">4.10.2</w:t>
      </w:r>
      <w:r>
        <w:tab/>
      </w:r>
      <w:r>
        <w:t xml:space="preserve">Complexity of the design process</w:t>
      </w:r>
    </w:p>
    <w:p>
      <w:pPr>
        <w:pStyle w:val="FirstParagraph"/>
      </w:pPr>
      <w:r>
        <w:t xml:space="preserve">Designing frequency control arrangements is a complex exercise in</w:t>
      </w:r>
      <w:r>
        <w:t xml:space="preserve"> </w:t>
      </w:r>
      <w:r>
        <w:t xml:space="preserve">managing interrelated and interacting capabilities, mechanisms and</w:t>
      </w:r>
      <w:r>
        <w:t xml:space="preserve"> </w:t>
      </w:r>
      <w:r>
        <w:t xml:space="preserve">objectives (</w:t>
      </w:r>
      <w:hyperlink w:anchor="fig:design_complexity">
        <w:r>
          <w:rPr>
            <w:rStyle w:val="Hyperlink"/>
          </w:rPr>
          <w:t xml:space="preserve">7</w:t>
        </w:r>
      </w:hyperlink>
      <w:r>
        <w:t xml:space="preserve">). The frequency control</w:t>
      </w:r>
      <w:r>
        <w:t xml:space="preserve"> </w:t>
      </w:r>
      <w:r>
        <w:rPr>
          <w:iCs/>
          <w:i/>
        </w:rPr>
        <w:t xml:space="preserve">capability</w:t>
      </w:r>
      <w:r>
        <w:t xml:space="preserve"> </w:t>
      </w:r>
      <w:r>
        <w:t xml:space="preserve">of a power system is distinct from its</w:t>
      </w:r>
      <w:r>
        <w:t xml:space="preserve"> </w:t>
      </w:r>
      <w:r>
        <w:rPr>
          <w:iCs/>
          <w:i/>
        </w:rPr>
        <w:t xml:space="preserve">performance</w:t>
      </w:r>
      <w:r>
        <w:t xml:space="preserve">, with a</w:t>
      </w:r>
      <w:r>
        <w:t xml:space="preserve"> </w:t>
      </w:r>
      <w:r>
        <w:rPr>
          <w:iCs/>
          <w:i/>
        </w:rPr>
        <w:t xml:space="preserve">control</w:t>
      </w:r>
      <w:r>
        <w:rPr>
          <w:iCs/>
          <w:i/>
        </w:rPr>
        <w:t xml:space="preserve"> </w:t>
      </w:r>
      <w:r>
        <w:rPr>
          <w:iCs/>
          <w:i/>
        </w:rPr>
        <w:t xml:space="preserve">strategy</w:t>
      </w:r>
      <w:r>
        <w:t xml:space="preserve"> </w:t>
      </w:r>
      <w:r>
        <w:t xml:space="preserve">defining how the former translates to the latter. The</w:t>
      </w:r>
      <w:r>
        <w:t xml:space="preserve"> </w:t>
      </w:r>
      <w:r>
        <w:t xml:space="preserve">frequency control capability of a power system is determined by the</w:t>
      </w:r>
      <w:r>
        <w:t xml:space="preserve"> </w:t>
      </w:r>
      <w:r>
        <w:t xml:space="preserve">physical characteristics and configuration of generators, loads and</w:t>
      </w:r>
      <w:r>
        <w:t xml:space="preserve"> </w:t>
      </w:r>
      <w:r>
        <w:t xml:space="preserve">network elements within a synchronous area.</w:t>
      </w:r>
    </w:p>
    <w:p>
      <w:pPr>
        <w:pStyle w:val="CaptionedFigure"/>
      </w:pPr>
      <w:r>
        <w:drawing>
          <wp:inline>
            <wp:extent cx="5334000" cy="3168729"/>
            <wp:effectExtent b="0" l="0" r="0" t="0"/>
            <wp:docPr descr="A diagrammatic depiction of the complexity involved in designing power system frequency control arrangements." title="" id="101" name="Picture"/>
            <a:graphic>
              <a:graphicData uri="http://schemas.openxmlformats.org/drawingml/2006/picture">
                <pic:pic>
                  <pic:nvPicPr>
                    <pic:cNvPr descr="source/figures/capability_performance-04.png" id="102" name="Picture"/>
                    <pic:cNvPicPr>
                      <a:picLocks noChangeArrowheads="1" noChangeAspect="1"/>
                    </pic:cNvPicPr>
                  </pic:nvPicPr>
                  <pic:blipFill>
                    <a:blip r:embed="rId100"/>
                    <a:stretch>
                      <a:fillRect/>
                    </a:stretch>
                  </pic:blipFill>
                  <pic:spPr bwMode="auto">
                    <a:xfrm>
                      <a:off x="0" y="0"/>
                      <a:ext cx="5334000" cy="3168729"/>
                    </a:xfrm>
                    <a:prstGeom prst="rect">
                      <a:avLst/>
                    </a:prstGeom>
                    <a:noFill/>
                    <a:ln w="9525">
                      <a:noFill/>
                      <a:headEnd/>
                      <a:tailEnd/>
                    </a:ln>
                  </pic:spPr>
                </pic:pic>
              </a:graphicData>
            </a:graphic>
          </wp:inline>
        </w:drawing>
      </w:r>
    </w:p>
    <w:p>
      <w:pPr>
        <w:pStyle w:val="ImageCaption"/>
      </w:pPr>
      <w:r>
        <w:t xml:space="preserve">Figure 5: A diagrammatic depiction of the complexity involved in designing power</w:t>
      </w:r>
      <w:r>
        <w:t xml:space="preserve"> </w:t>
      </w:r>
      <w:r>
        <w:t xml:space="preserve">system frequency control</w:t>
      </w:r>
      <w:r>
        <w:t xml:space="preserve"> </w:t>
      </w:r>
      <w:r>
        <w:t xml:space="preserve">arrangements.</w:t>
      </w:r>
    </w:p>
    <w:p>
      <w:pPr>
        <w:pStyle w:val="BodyText"/>
      </w:pPr>
      <w:r>
        <w:t xml:space="preserve">Frequency control services from capable resources are often mandated</w:t>
      </w:r>
      <w:r>
        <w:t xml:space="preserve"> </w:t>
      </w:r>
      <w:r>
        <w:t xml:space="preserve">through connection requirements or power system operator intervention</w:t>
      </w:r>
      <w:r>
        <w:t xml:space="preserve"> </w:t>
      </w:r>
      <w:r>
        <w:t xml:space="preserve">(see</w:t>
      </w:r>
      <w:r>
        <w:t xml:space="preserve"> </w:t>
      </w:r>
      <w:hyperlink w:anchor="sec:regulatory_mech">
        <w:r>
          <w:rPr>
            <w:rStyle w:val="Hyperlink"/>
          </w:rPr>
          <w:t xml:space="preserve">6.2</w:t>
        </w:r>
      </w:hyperlink>
      <w:r>
        <w:t xml:space="preserve">), incentivised through remunerative</w:t>
      </w:r>
      <w:r>
        <w:t xml:space="preserve"> </w:t>
      </w:r>
      <w:r>
        <w:t xml:space="preserve">schemes, or procured through a contract or spot market (see</w:t>
      </w:r>
      <w:r>
        <w:t xml:space="preserve"> </w:t>
      </w:r>
      <w:hyperlink w:anchor="sec:market_mech">
        <w:r>
          <w:rPr>
            <w:rStyle w:val="Hyperlink"/>
          </w:rPr>
          <w:t xml:space="preserve">6.1</w:t>
        </w:r>
      </w:hyperlink>
      <w:r>
        <w:t xml:space="preserve">)</w:t>
      </w:r>
      <w:r>
        <w:t xml:space="preserve"> </w:t>
      </w:r>
      <w:r>
        <w:t xml:space="preserve">(</w:t>
      </w:r>
      <w:hyperlink w:anchor="ref-Billimoria2020">
        <w:r>
          <w:rPr>
            <w:rStyle w:val="Hyperlink"/>
            <w:bCs/>
            <w:b/>
          </w:rPr>
          <w:t xml:space="preserve">Billimoria2020?</w:t>
        </w:r>
      </w:hyperlink>
      <w:r>
        <w:t xml:space="preserve">)</w:t>
      </w:r>
      <w:r>
        <w:t xml:space="preserve">. Together with the</w:t>
      </w:r>
      <w:r>
        <w:t xml:space="preserve"> </w:t>
      </w:r>
      <w:r>
        <w:t xml:space="preserve">control specification of frequency control products, these mechanisms</w:t>
      </w:r>
      <w:r>
        <w:t xml:space="preserve"> </w:t>
      </w:r>
      <w:r>
        <w:t xml:space="preserve">define a power system</w:t>
      </w:r>
      <w:r>
        <w:t xml:space="preserve"> </w:t>
      </w:r>
      <w:r>
        <w:rPr>
          <w:iCs/>
          <w:i/>
        </w:rPr>
        <w:t xml:space="preserve">control strategy</w:t>
      </w:r>
      <w:r>
        <w:t xml:space="preserve"> </w:t>
      </w:r>
      <w:r>
        <w:t xml:space="preserve">that dictates how capable</w:t>
      </w:r>
      <w:r>
        <w:t xml:space="preserve"> </w:t>
      </w:r>
      <w:r>
        <w:t xml:space="preserve">system resources respond to deviations, and therefore determine the</w:t>
      </w:r>
      <w:r>
        <w:t xml:space="preserve"> </w:t>
      </w:r>
      <w:r>
        <w:t xml:space="preserve">frequency control</w:t>
      </w:r>
      <w:r>
        <w:t xml:space="preserve"> </w:t>
      </w:r>
      <w:r>
        <w:rPr>
          <w:iCs/>
          <w:i/>
        </w:rPr>
        <w:t xml:space="preserve">performance</w:t>
      </w:r>
      <w:r>
        <w:t xml:space="preserve"> </w:t>
      </w:r>
      <w:r>
        <w:t xml:space="preserve">of a power system. The outcomes that</w:t>
      </w:r>
      <w:r>
        <w:t xml:space="preserve"> </w:t>
      </w:r>
      <w:r>
        <w:t xml:space="preserve">define frequency control performance can be divided into physical</w:t>
      </w:r>
      <w:r>
        <w:t xml:space="preserve"> </w:t>
      </w:r>
      <w:r>
        <w:t xml:space="preserve">performance criteria, which describe the effectiveness of frequency</w:t>
      </w:r>
      <w:r>
        <w:t xml:space="preserve"> </w:t>
      </w:r>
      <w:r>
        <w:t xml:space="preserve">control services provided, and economic objectives, which relate to the</w:t>
      </w:r>
      <w:r>
        <w:t xml:space="preserve"> </w:t>
      </w:r>
      <w:r>
        <w:t xml:space="preserve">productive, dynamic and price and cost-allocation efficiency of the</w:t>
      </w:r>
      <w:r>
        <w:t xml:space="preserve"> </w:t>
      </w:r>
      <w:r>
        <w:t xml:space="preserve">arrangements.</w:t>
      </w:r>
    </w:p>
    <w:bookmarkStart w:id="103" w:name="X1e784928a97ab8756574845e53376faa9452811"/>
    <w:p>
      <w:pPr>
        <w:pStyle w:val="Heading4"/>
      </w:pPr>
      <w:r>
        <w:rPr>
          <w:rStyle w:val="SectionNumber"/>
        </w:rPr>
        <w:t xml:space="preserve">4.10.2.1</w:t>
      </w:r>
      <w:r>
        <w:tab/>
      </w:r>
      <w:r>
        <w:t xml:space="preserve">Interactions between capability, strategy and performance</w:t>
      </w:r>
    </w:p>
    <w:p>
      <w:pPr>
        <w:pStyle w:val="FirstParagraph"/>
      </w:pPr>
      <w:r>
        <w:t xml:space="preserve">These three design layers often interact. Technical capabilities may</w:t>
      </w:r>
      <w:r>
        <w:t xml:space="preserve"> </w:t>
      </w:r>
      <w:r>
        <w:t xml:space="preserve">guide the design of the control strategy, and therefore the mechanisms</w:t>
      </w:r>
      <w:r>
        <w:t xml:space="preserve"> </w:t>
      </w:r>
      <w:r>
        <w:t xml:space="preserve">that define frequency control performance. An example of such a process</w:t>
      </w:r>
      <w:r>
        <w:t xml:space="preserve"> </w:t>
      </w:r>
      <w:r>
        <w:t xml:space="preserve">is the PJM Interconnection (an RTO) implementing a high frequency AGC</w:t>
      </w:r>
      <w:r>
        <w:t xml:space="preserve"> </w:t>
      </w:r>
      <w:r>
        <w:t xml:space="preserve">signal designed for BESS providing fast regulation frequency control</w:t>
      </w:r>
      <w:r>
        <w:t xml:space="preserve"> </w:t>
      </w:r>
      <w:r>
        <w:t xml:space="preserve">services</w:t>
      </w:r>
      <w:r>
        <w:t xml:space="preserve"> </w:t>
      </w:r>
      <w:r>
        <w:t xml:space="preserve">(</w:t>
      </w:r>
      <w:hyperlink w:anchor="ref-Benner2015">
        <w:r>
          <w:rPr>
            <w:rStyle w:val="Hyperlink"/>
            <w:bCs/>
            <w:b/>
          </w:rPr>
          <w:t xml:space="preserve">Benner2015?</w:t>
        </w:r>
      </w:hyperlink>
      <w:r>
        <w:t xml:space="preserve">;</w:t>
      </w:r>
      <w:r>
        <w:t xml:space="preserve"> </w:t>
      </w:r>
      <w:hyperlink w:anchor="ref-Brooks2019">
        <w:r>
          <w:rPr>
            <w:rStyle w:val="Hyperlink"/>
            <w:bCs/>
            <w:b/>
          </w:rPr>
          <w:t xml:space="preserve">Brooks2019?</w:t>
        </w:r>
      </w:hyperlink>
      <w:r>
        <w:t xml:space="preserve">)</w:t>
      </w:r>
      <w:r>
        <w:t xml:space="preserve">. Similarly, deficiencies in</w:t>
      </w:r>
      <w:r>
        <w:t xml:space="preserve"> </w:t>
      </w:r>
      <w:r>
        <w:t xml:space="preserve">performance can be addressed through modifying the control strategy to</w:t>
      </w:r>
      <w:r>
        <w:t xml:space="preserve"> </w:t>
      </w:r>
      <w:r>
        <w:t xml:space="preserve">procure additional or more suitable frequency control capability. The</w:t>
      </w:r>
      <w:r>
        <w:t xml:space="preserve"> </w:t>
      </w:r>
      <w:r>
        <w:t xml:space="preserve">California and Midcontinent ISOs have introduced ramping products to</w:t>
      </w:r>
      <w:r>
        <w:t xml:space="preserve"> </w:t>
      </w:r>
      <w:r>
        <w:t xml:space="preserve">address increasing variability and uncertainty in their power systems</w:t>
      </w:r>
      <w:r>
        <w:t xml:space="preserve"> </w:t>
      </w:r>
      <w:r>
        <w:t xml:space="preserve">(</w:t>
      </w:r>
      <w:hyperlink w:anchor="ref-Ela2016">
        <w:r>
          <w:rPr>
            <w:rStyle w:val="Hyperlink"/>
            <w:bCs/>
            <w:b/>
          </w:rPr>
          <w:t xml:space="preserve">Ela2016?</w:t>
        </w:r>
      </w:hyperlink>
      <w:r>
        <w:t xml:space="preserve">;</w:t>
      </w:r>
      <w:r>
        <w:t xml:space="preserve"> </w:t>
      </w:r>
      <w:hyperlink w:anchor="ref-Ela2017">
        <w:r>
          <w:rPr>
            <w:rStyle w:val="Hyperlink"/>
            <w:bCs/>
            <w:b/>
          </w:rPr>
          <w:t xml:space="preserve">Ela2017?</w:t>
        </w:r>
      </w:hyperlink>
      <w:r>
        <w:t xml:space="preserve">)</w:t>
      </w:r>
      <w:r>
        <w:t xml:space="preserve">.</w:t>
      </w:r>
    </w:p>
    <w:bookmarkEnd w:id="103"/>
    <w:bookmarkEnd w:id="104"/>
    <w:bookmarkStart w:id="105" w:name="diversity-of-design-outcomes"/>
    <w:p>
      <w:pPr>
        <w:pStyle w:val="Heading3"/>
      </w:pPr>
      <w:r>
        <w:rPr>
          <w:rStyle w:val="SectionNumber"/>
        </w:rPr>
        <w:t xml:space="preserve">4.10.3</w:t>
      </w:r>
      <w:r>
        <w:tab/>
      </w:r>
      <w:r>
        <w:t xml:space="preserve">Diversity of design outcomes</w:t>
      </w:r>
    </w:p>
    <w:p>
      <w:pPr>
        <w:pStyle w:val="FirstParagraph"/>
      </w:pPr>
      <w:r>
        <w:t xml:space="preserve">The design process has and will most likely continue to proceed</w:t>
      </w:r>
      <w:r>
        <w:t xml:space="preserve"> </w:t>
      </w:r>
      <w:r>
        <w:t xml:space="preserve">differently across jurisdictions due to the diversity of both the</w:t>
      </w:r>
      <w:r>
        <w:t xml:space="preserve"> </w:t>
      </w:r>
      <w:r>
        <w:t xml:space="preserve">technical capabilities of resources within power systems (see</w:t>
      </w:r>
      <w:r>
        <w:t xml:space="preserve"> </w:t>
      </w:r>
      <w:hyperlink w:anchor="sec:freq_dev_control">
        <w:r>
          <w:rPr>
            <w:rStyle w:val="Hyperlink"/>
          </w:rPr>
          <w:t xml:space="preserve">4</w:t>
        </w:r>
      </w:hyperlink>
      <w:r>
        <w:t xml:space="preserve"> </w:t>
      </w:r>
      <w:r>
        <w:t xml:space="preserve">and</w:t>
      </w:r>
      <w:r>
        <w:t xml:space="preserve"> </w:t>
      </w:r>
      <w:hyperlink w:anchor="sec:ibr_freq">
        <w:r>
          <w:rPr>
            <w:rStyle w:val="Hyperlink"/>
          </w:rPr>
          <w:t xml:space="preserve">5</w:t>
        </w:r>
      </w:hyperlink>
      <w:r>
        <w:t xml:space="preserve">) and</w:t>
      </w:r>
      <w:r>
        <w:t xml:space="preserve"> </w:t>
      </w:r>
      <w:r>
        <w:t xml:space="preserve">the different structures and features of various electricity markets</w:t>
      </w:r>
      <w:r>
        <w:t xml:space="preserve"> </w:t>
      </w:r>
      <w:r>
        <w:t xml:space="preserve">(see</w:t>
      </w:r>
      <w:r>
        <w:t xml:space="preserve"> </w:t>
      </w:r>
      <w:hyperlink w:anchor="sec:elec_markets">
        <w:r>
          <w:rPr>
            <w:rStyle w:val="Hyperlink"/>
          </w:rPr>
          <w:t xml:space="preserve">2</w:t>
        </w:r>
      </w:hyperlink>
      <w:r>
        <w:t xml:space="preserve">)</w:t>
      </w:r>
      <w:r>
        <w:t xml:space="preserve"> </w:t>
      </w:r>
      <w:r>
        <w:t xml:space="preserve">(</w:t>
      </w:r>
      <w:hyperlink w:anchor="ref-Rebours2007b">
        <w:r>
          <w:rPr>
            <w:rStyle w:val="Hyperlink"/>
            <w:bCs/>
            <w:b/>
          </w:rPr>
          <w:t xml:space="preserve">Rebours2007b?</w:t>
        </w:r>
      </w:hyperlink>
      <w:r>
        <w:t xml:space="preserve">)</w:t>
      </w:r>
      <w:r>
        <w:t xml:space="preserve">. Existing frequency</w:t>
      </w:r>
      <w:r>
        <w:t xml:space="preserve"> </w:t>
      </w:r>
      <w:r>
        <w:t xml:space="preserve">control arrangements across the world have been reviewed and compared</w:t>
      </w:r>
      <w:r>
        <w:t xml:space="preserve"> </w:t>
      </w:r>
      <w:r>
        <w:t xml:space="preserve">extensively in the literature</w:t>
      </w:r>
      <w:r>
        <w:t xml:space="preserve"> </w:t>
      </w:r>
      <w:r>
        <w:t xml:space="preserve">(</w:t>
      </w:r>
      <w:hyperlink w:anchor="ref-Rebours2009">
        <w:r>
          <w:rPr>
            <w:rStyle w:val="Hyperlink"/>
            <w:bCs/>
            <w:b/>
          </w:rPr>
          <w:t xml:space="preserve">Rebours2009?</w:t>
        </w:r>
      </w:hyperlink>
      <w:r>
        <w:t xml:space="preserve">;</w:t>
      </w:r>
      <w:r>
        <w:t xml:space="preserve"> </w:t>
      </w:r>
      <w:hyperlink w:anchor="ref-Ela2011">
        <w:r>
          <w:rPr>
            <w:rStyle w:val="Hyperlink"/>
            <w:bCs/>
            <w:b/>
          </w:rPr>
          <w:t xml:space="preserve">Ela2011?</w:t>
        </w:r>
      </w:hyperlink>
      <w:r>
        <w:t xml:space="preserve">;</w:t>
      </w:r>
      <w:r>
        <w:t xml:space="preserve"> </w:t>
      </w:r>
      <w:hyperlink w:anchor="ref-DGAConsulting2016">
        <w:r>
          <w:rPr>
            <w:rStyle w:val="Hyperlink"/>
            <w:bCs/>
            <w:b/>
          </w:rPr>
          <w:t xml:space="preserve">DGAConsulting2016?</w:t>
        </w:r>
      </w:hyperlink>
      <w:r>
        <w:t xml:space="preserve">;</w:t>
      </w:r>
      <w:r>
        <w:t xml:space="preserve"> </w:t>
      </w:r>
      <w:hyperlink w:anchor="ref-Hewicker2020">
        <w:r>
          <w:rPr>
            <w:rStyle w:val="Hyperlink"/>
            <w:bCs/>
            <w:b/>
          </w:rPr>
          <w:t xml:space="preserve">Hewicker2020?</w:t>
        </w:r>
      </w:hyperlink>
      <w:r>
        <w:t xml:space="preserve">;</w:t>
      </w:r>
      <w:r>
        <w:t xml:space="preserve"> </w:t>
      </w:r>
      <w:hyperlink w:anchor="ref-Rebours2007a">
        <w:r>
          <w:rPr>
            <w:rStyle w:val="Hyperlink"/>
            <w:bCs/>
            <w:b/>
          </w:rPr>
          <w:t xml:space="preserve">Rebours2007a?</w:t>
        </w:r>
      </w:hyperlink>
      <w:r>
        <w:t xml:space="preserve">;</w:t>
      </w:r>
      <w:r>
        <w:t xml:space="preserve"> </w:t>
      </w:r>
      <w:hyperlink w:anchor="ref-Rebours2007">
        <w:r>
          <w:rPr>
            <w:rStyle w:val="Hyperlink"/>
            <w:bCs/>
            <w:b/>
          </w:rPr>
          <w:t xml:space="preserve">Rebours2007?</w:t>
        </w:r>
      </w:hyperlink>
      <w:r>
        <w:t xml:space="preserve">;</w:t>
      </w:r>
      <w:r>
        <w:t xml:space="preserve"> </w:t>
      </w:r>
      <w:hyperlink w:anchor="ref-Zhou2016">
        <w:r>
          <w:rPr>
            <w:rStyle w:val="Hyperlink"/>
            <w:bCs/>
            <w:b/>
          </w:rPr>
          <w:t xml:space="preserve">Zhou2016?</w:t>
        </w:r>
      </w:hyperlink>
      <w:r>
        <w:t xml:space="preserve">;</w:t>
      </w:r>
      <w:r>
        <w:t xml:space="preserve"> </w:t>
      </w:r>
      <w:hyperlink w:anchor="ref-ReishusConsultingLLC2017">
        <w:r>
          <w:rPr>
            <w:rStyle w:val="Hyperlink"/>
            <w:bCs/>
            <w:b/>
          </w:rPr>
          <w:t xml:space="preserve">ReishusConsultingLLC2017?</w:t>
        </w:r>
      </w:hyperlink>
      <w:r>
        <w:t xml:space="preserve">;</w:t>
      </w:r>
      <w:r>
        <w:t xml:space="preserve"> </w:t>
      </w:r>
      <w:hyperlink w:anchor="ref-Banshwar2018">
        <w:r>
          <w:rPr>
            <w:rStyle w:val="Hyperlink"/>
            <w:bCs/>
            <w:b/>
          </w:rPr>
          <w:t xml:space="preserve">Banshwar2018?</w:t>
        </w:r>
      </w:hyperlink>
      <w:r>
        <w:t xml:space="preserve">)</w:t>
      </w:r>
      <w:r>
        <w:t xml:space="preserve">.</w:t>
      </w:r>
    </w:p>
    <w:bookmarkEnd w:id="105"/>
    <w:bookmarkStart w:id="115" w:name="design-principles-and-considerations"/>
    <w:p>
      <w:pPr>
        <w:pStyle w:val="Heading3"/>
      </w:pPr>
      <w:r>
        <w:rPr>
          <w:rStyle w:val="SectionNumber"/>
        </w:rPr>
        <w:t xml:space="preserve">4.10.4</w:t>
      </w:r>
      <w:r>
        <w:tab/>
      </w:r>
      <w:r>
        <w:t xml:space="preserve">Design principles and considerations</w:t>
      </w:r>
    </w:p>
    <w:p>
      <w:pPr>
        <w:pStyle w:val="FirstParagraph"/>
      </w:pPr>
      <w:r>
        <w:t xml:space="preserve">Previous literature has explored the key design considerations for</w:t>
      </w:r>
      <w:r>
        <w:t xml:space="preserve"> </w:t>
      </w:r>
      <w:r>
        <w:t xml:space="preserve">frequency control arrangements.</w:t>
      </w:r>
      <w:r>
        <w:t xml:space="preserve"> </w:t>
      </w:r>
      <w:r>
        <w:t xml:space="preserve">(</w:t>
      </w:r>
      <w:hyperlink w:anchor="ref-Rebours2007b">
        <w:r>
          <w:rPr>
            <w:rStyle w:val="Hyperlink"/>
            <w:bCs/>
            <w:b/>
          </w:rPr>
          <w:t xml:space="preserve">Rebours2007b?</w:t>
        </w:r>
      </w:hyperlink>
      <w:r>
        <w:t xml:space="preserve">)</w:t>
      </w:r>
      <w:r>
        <w:t xml:space="preserve"> </w:t>
      </w:r>
      <w:r>
        <w:t xml:space="preserve">outline design principles</w:t>
      </w:r>
      <w:r>
        <w:t xml:space="preserve"> </w:t>
      </w:r>
      <w:r>
        <w:t xml:space="preserve">for power pool markets related to the frequency control services</w:t>
      </w:r>
      <w:r>
        <w:t xml:space="preserve"> </w:t>
      </w:r>
      <w:r>
        <w:t xml:space="preserve">procurement, price formation, cost-allocation and market structure,</w:t>
      </w:r>
      <w:r>
        <w:t xml:space="preserve"> </w:t>
      </w:r>
      <w:r>
        <w:t xml:space="preserve">which includes how frequency control services are offered, remunerated</w:t>
      </w:r>
      <w:r>
        <w:t xml:space="preserve"> </w:t>
      </w:r>
      <w:r>
        <w:t xml:space="preserve">and cleared in markets, in addition to market operation and regulation.</w:t>
      </w:r>
      <w:r>
        <w:t xml:space="preserve"> </w:t>
      </w:r>
      <w:r>
        <w:t xml:space="preserve">(</w:t>
      </w:r>
      <w:hyperlink w:anchor="ref-VanderVeen2016">
        <w:r>
          <w:rPr>
            <w:rStyle w:val="Hyperlink"/>
            <w:bCs/>
            <w:b/>
          </w:rPr>
          <w:t xml:space="preserve">VanderVeen2016?</w:t>
        </w:r>
      </w:hyperlink>
      <w:r>
        <w:t xml:space="preserve">)</w:t>
      </w:r>
      <w:r>
        <w:t xml:space="preserve"> </w:t>
      </w:r>
      <w:r>
        <w:t xml:space="preserve">build upon the work of</w:t>
      </w:r>
      <w:r>
        <w:t xml:space="preserve"> </w:t>
      </w:r>
      <w:r>
        <w:t xml:space="preserve">(</w:t>
      </w:r>
      <w:hyperlink w:anchor="ref-Rebours2007b">
        <w:r>
          <w:rPr>
            <w:rStyle w:val="Hyperlink"/>
            <w:bCs/>
            <w:b/>
          </w:rPr>
          <w:t xml:space="preserve">Rebours2007b?</w:t>
        </w:r>
      </w:hyperlink>
      <w:r>
        <w:t xml:space="preserve">)</w:t>
      </w:r>
      <w:r>
        <w:t xml:space="preserve"> </w:t>
      </w:r>
      <w:r>
        <w:t xml:space="preserve">to provides a more</w:t>
      </w:r>
      <w:r>
        <w:t xml:space="preserve"> </w:t>
      </w:r>
      <w:r>
        <w:t xml:space="preserve">comprehensive treatment of frequency control arrangement design</w:t>
      </w:r>
      <w:r>
        <w:t xml:space="preserve"> </w:t>
      </w:r>
      <w:r>
        <w:t xml:space="preserve">variables and performance criteria. The key contribution of</w:t>
      </w:r>
      <w:r>
        <w:t xml:space="preserve"> </w:t>
      </w:r>
      <w:r>
        <w:t xml:space="preserve">(</w:t>
      </w:r>
      <w:hyperlink w:anchor="ref-VanderVeen2016">
        <w:r>
          <w:rPr>
            <w:rStyle w:val="Hyperlink"/>
            <w:bCs/>
            <w:b/>
          </w:rPr>
          <w:t xml:space="preserve">VanderVeen2016?</w:t>
        </w:r>
      </w:hyperlink>
      <w:r>
        <w:t xml:space="preserve">)</w:t>
      </w:r>
      <w:r>
        <w:t xml:space="preserve"> </w:t>
      </w:r>
      <w:r>
        <w:t xml:space="preserve">is that they explore some of the trade-offs between</w:t>
      </w:r>
      <w:r>
        <w:t xml:space="preserve"> </w:t>
      </w:r>
      <w:r>
        <w:t xml:space="preserve">performance criteria when designing frequency control services markets.</w:t>
      </w:r>
      <w:r>
        <w:t xml:space="preserve"> </w:t>
      </w:r>
      <w:r>
        <w:t xml:space="preserve">However, as they focus on the design challenge in European bilateral</w:t>
      </w:r>
      <w:r>
        <w:t xml:space="preserve"> </w:t>
      </w:r>
      <w:r>
        <w:t xml:space="preserve">markets, some of these trade-offs are not relevant to or present in</w:t>
      </w:r>
      <w:r>
        <w:t xml:space="preserve"> </w:t>
      </w:r>
      <w:r>
        <w:t xml:space="preserve">mandatory pool markets.</w:t>
      </w:r>
    </w:p>
    <w:p>
      <w:pPr>
        <w:pStyle w:val="BodyText"/>
      </w:pPr>
      <w:r>
        <w:t xml:space="preserve">Both</w:t>
      </w:r>
      <w:r>
        <w:t xml:space="preserve"> </w:t>
      </w:r>
      <w:r>
        <w:t xml:space="preserve">(</w:t>
      </w:r>
      <w:hyperlink w:anchor="ref-Rebours2007b">
        <w:r>
          <w:rPr>
            <w:rStyle w:val="Hyperlink"/>
            <w:bCs/>
            <w:b/>
          </w:rPr>
          <w:t xml:space="preserve">Rebours2007b?</w:t>
        </w:r>
      </w:hyperlink>
      <w:r>
        <w:t xml:space="preserve">)</w:t>
      </w:r>
      <w:r>
        <w:t xml:space="preserve"> </w:t>
      </w:r>
      <w:r>
        <w:t xml:space="preserve">and</w:t>
      </w:r>
      <w:r>
        <w:t xml:space="preserve"> </w:t>
      </w:r>
      <w:r>
        <w:t xml:space="preserve">(</w:t>
      </w:r>
      <w:hyperlink w:anchor="ref-VanderVeen2016">
        <w:r>
          <w:rPr>
            <w:rStyle w:val="Hyperlink"/>
            <w:bCs/>
            <w:b/>
          </w:rPr>
          <w:t xml:space="preserve">VanderVeen2016?</w:t>
        </w:r>
      </w:hyperlink>
      <w:r>
        <w:t xml:space="preserve">)</w:t>
      </w:r>
      <w:r>
        <w:t xml:space="preserve"> </w:t>
      </w:r>
      <w:r>
        <w:t xml:space="preserve">emphasise that good design will</w:t>
      </w:r>
      <w:r>
        <w:t xml:space="preserve"> </w:t>
      </w:r>
      <w:r>
        <w:t xml:space="preserve">lead to efficient and effective frequency control arrangements. However,</w:t>
      </w:r>
      <w:r>
        <w:t xml:space="preserve"> </w:t>
      </w:r>
      <w:r>
        <w:t xml:space="preserve">(</w:t>
      </w:r>
      <w:hyperlink w:anchor="ref-VanderVeen2016">
        <w:r>
          <w:rPr>
            <w:rStyle w:val="Hyperlink"/>
            <w:bCs/>
            <w:b/>
          </w:rPr>
          <w:t xml:space="preserve">VanderVeen2016?</w:t>
        </w:r>
      </w:hyperlink>
      <w:r>
        <w:t xml:space="preserve">)</w:t>
      </w:r>
      <w:r>
        <w:t xml:space="preserve"> </w:t>
      </w:r>
      <w:r>
        <w:t xml:space="preserve">focuses solely on market design whilst</w:t>
      </w:r>
      <w:r>
        <w:t xml:space="preserve"> </w:t>
      </w:r>
      <w:r>
        <w:t xml:space="preserve">(</w:t>
      </w:r>
      <w:hyperlink w:anchor="ref-Rebours2007b">
        <w:r>
          <w:rPr>
            <w:rStyle w:val="Hyperlink"/>
            <w:bCs/>
            <w:b/>
          </w:rPr>
          <w:t xml:space="preserve">Rebours2007b?</w:t>
        </w:r>
      </w:hyperlink>
      <w:r>
        <w:t xml:space="preserve">)</w:t>
      </w:r>
      <w:r>
        <w:t xml:space="preserve"> </w:t>
      </w:r>
      <w:r>
        <w:t xml:space="preserve">assesses various competitive procurement options but only briefly</w:t>
      </w:r>
      <w:r>
        <w:t xml:space="preserve"> </w:t>
      </w:r>
      <w:r>
        <w:t xml:space="preserve">discusses the relative merits of compulsory provision of frequency</w:t>
      </w:r>
      <w:r>
        <w:t xml:space="preserve"> </w:t>
      </w:r>
      <w:r>
        <w:t xml:space="preserve">control services through regulatory mechanisms. The work from these</w:t>
      </w:r>
      <w:r>
        <w:t xml:space="preserve"> </w:t>
      </w:r>
      <w:r>
        <w:t xml:space="preserve">authors concentrates on achieving economic efficiency but pays</w:t>
      </w:r>
      <w:r>
        <w:t xml:space="preserve"> </w:t>
      </w:r>
      <w:r>
        <w:t xml:space="preserve">relatively little attention to the technical capabilities of power</w:t>
      </w:r>
      <w:r>
        <w:t xml:space="preserve"> </w:t>
      </w:r>
      <w:r>
        <w:t xml:space="preserve">system resources and the design of and interactions between frequency</w:t>
      </w:r>
      <w:r>
        <w:t xml:space="preserve"> </w:t>
      </w:r>
      <w:r>
        <w:t xml:space="preserve">control products.</w:t>
      </w:r>
    </w:p>
    <w:bookmarkStart w:id="106" w:name="holistic-design"/>
    <w:p>
      <w:pPr>
        <w:pStyle w:val="Heading4"/>
      </w:pPr>
      <w:r>
        <w:rPr>
          <w:rStyle w:val="SectionNumber"/>
        </w:rPr>
        <w:t xml:space="preserve">4.10.4.1</w:t>
      </w:r>
      <w:r>
        <w:tab/>
      </w:r>
      <w:r>
        <w:t xml:space="preserve">Holistic design</w:t>
      </w:r>
    </w:p>
    <w:p>
      <w:pPr>
        <w:pStyle w:val="FirstParagraph"/>
      </w:pPr>
      <w:r>
        <w:t xml:space="preserve">(</w:t>
      </w:r>
      <w:hyperlink w:anchor="ref-Ela2012b">
        <w:r>
          <w:rPr>
            <w:rStyle w:val="Hyperlink"/>
            <w:bCs/>
            <w:b/>
          </w:rPr>
          <w:t xml:space="preserve">Ela2012b?</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MacGill2020a">
        <w:r>
          <w:rPr>
            <w:rStyle w:val="Hyperlink"/>
            <w:bCs/>
            <w:b/>
          </w:rPr>
          <w:t xml:space="preserve">MacGill2020a?</w:t>
        </w:r>
      </w:hyperlink>
      <w:r>
        <w:t xml:space="preserve">)</w:t>
      </w:r>
      <w:r>
        <w:t xml:space="preserve"> </w:t>
      </w:r>
      <w:r>
        <w:t xml:space="preserve">recognise that power system</w:t>
      </w:r>
      <w:r>
        <w:t xml:space="preserve"> </w:t>
      </w:r>
      <w:r>
        <w:t xml:space="preserve">frequency control arrangements are typically composed of a mixture of</w:t>
      </w:r>
      <w:r>
        <w:t xml:space="preserve"> </w:t>
      </w:r>
      <w:r>
        <w:t xml:space="preserve">market-based mechanisms and regulatory mechanisms that are compatible</w:t>
      </w:r>
      <w:r>
        <w:t xml:space="preserve"> </w:t>
      </w:r>
      <w:r>
        <w:t xml:space="preserve">with the physics and control needs of the power system. The challenge</w:t>
      </w:r>
      <w:r>
        <w:t xml:space="preserve"> </w:t>
      </w:r>
      <w:r>
        <w:t xml:space="preserve">here is determining the appropriate combination of these options for</w:t>
      </w:r>
      <w:r>
        <w:t xml:space="preserve"> </w:t>
      </w:r>
      <w:r>
        <w:t xml:space="preserve">procurement, and the most suitable control mechanisms that account for</w:t>
      </w:r>
      <w:r>
        <w:t xml:space="preserve"> </w:t>
      </w:r>
      <w:r>
        <w:t xml:space="preserve">both frequency control capabilities and the physical performance</w:t>
      </w:r>
      <w:r>
        <w:t xml:space="preserve"> </w:t>
      </w:r>
      <w:r>
        <w:t xml:space="preserve">required by a power system. This can only be achieved by considering the</w:t>
      </w:r>
      <w:r>
        <w:t xml:space="preserve"> </w:t>
      </w:r>
      <w:r>
        <w:t xml:space="preserve">interactions, or</w:t>
      </w:r>
      <w:r>
        <w:t xml:space="preserve"> </w:t>
      </w:r>
      <w:r>
        <w:rPr>
          <w:iCs/>
          <w:i/>
        </w:rPr>
        <w:t xml:space="preserve">interfaces</w:t>
      </w:r>
      <w:r>
        <w:t xml:space="preserve">, between mechanisms within a power</w:t>
      </w:r>
      <w:r>
        <w:t xml:space="preserve"> </w:t>
      </w:r>
      <w:r>
        <w:t xml:space="preserve">system’s frequency control strategy.</w:t>
      </w:r>
    </w:p>
    <w:bookmarkEnd w:id="106"/>
    <w:bookmarkStart w:id="108" w:name="interfaces"/>
    <w:p>
      <w:pPr>
        <w:pStyle w:val="Heading4"/>
      </w:pPr>
      <w:r>
        <w:rPr>
          <w:rStyle w:val="SectionNumber"/>
        </w:rPr>
        <w:t xml:space="preserve">4.10.4.2</w:t>
      </w:r>
      <w:r>
        <w:tab/>
      </w:r>
      <w:r>
        <w:t xml:space="preserve">Interfaces</w:t>
      </w:r>
    </w:p>
    <w:p>
      <w:pPr>
        <w:pStyle w:val="FirstParagraph"/>
      </w:pPr>
      <w:r>
        <w:t xml:space="preserve">The concept of interfaces in electricity industry decision-making is</w:t>
      </w:r>
      <w:r>
        <w:t xml:space="preserve"> </w:t>
      </w:r>
      <w:r>
        <w:t xml:space="preserve">distinct but coupled to the frequency control arrangement design layers</w:t>
      </w:r>
      <w:r>
        <w:t xml:space="preserve"> </w:t>
      </w:r>
      <w:r>
        <w:t xml:space="preserve">discussed above. Interfaces were first formalised by</w:t>
      </w:r>
      <w:r>
        <w:t xml:space="preserve"> </w:t>
      </w:r>
      <w:r>
        <w:t xml:space="preserve">(</w:t>
      </w:r>
      <w:hyperlink w:anchor="ref-Thorncraft2007">
        <w:r>
          <w:rPr>
            <w:rStyle w:val="Hyperlink"/>
            <w:bCs/>
            <w:b/>
          </w:rPr>
          <w:t xml:space="preserve">Thorncraft2007?</w:t>
        </w:r>
      </w:hyperlink>
      <w:r>
        <w:t xml:space="preserve">)</w:t>
      </w:r>
      <w:r>
        <w:t xml:space="preserve">,</w:t>
      </w:r>
      <w:r>
        <w:t xml:space="preserve"> </w:t>
      </w:r>
      <w:r>
        <w:t xml:space="preserve">specifically with relation to the security decision-making interface</w:t>
      </w:r>
      <w:r>
        <w:t xml:space="preserve"> </w:t>
      </w:r>
      <w:r>
        <w:t xml:space="preserve">between commercial decision-making processes (i.e. processes within</w:t>
      </w:r>
      <w:r>
        <w:t xml:space="preserve"> </w:t>
      </w:r>
      <w:r>
        <w:t xml:space="preserve">market-based mechanisms) and the technical and physical processes and</w:t>
      </w:r>
      <w:r>
        <w:t xml:space="preserve"> </w:t>
      </w:r>
      <w:r>
        <w:t xml:space="preserve">the requirements of the power system (i.e. frequency control capability</w:t>
      </w:r>
      <w:r>
        <w:t xml:space="preserve"> </w:t>
      </w:r>
      <w:r>
        <w:t xml:space="preserve">and physical performance)</w:t>
      </w:r>
      <w:r>
        <w:t xml:space="preserve"> </w:t>
      </w:r>
      <w:r>
        <w:t xml:space="preserve">(</w:t>
      </w:r>
      <w:hyperlink w:anchor="ref-Thorncraft2009">
        <w:r>
          <w:rPr>
            <w:rStyle w:val="Hyperlink"/>
            <w:bCs/>
            <w:b/>
          </w:rPr>
          <w:t xml:space="preserve">Thorncraft2009?</w:t>
        </w:r>
      </w:hyperlink>
      <w:r>
        <w:t xml:space="preserve">)</w:t>
      </w:r>
      <w:r>
        <w:t xml:space="preserve">.</w:t>
      </w:r>
    </w:p>
    <w:bookmarkStart w:id="107" w:name="security-decision-making-interface."/>
    <w:p>
      <w:pPr>
        <w:pStyle w:val="Heading5"/>
      </w:pPr>
      <w:r>
        <w:rPr>
          <w:rStyle w:val="SectionNumber"/>
        </w:rPr>
        <w:t xml:space="preserve">4.10.4.2.1</w:t>
      </w:r>
      <w:r>
        <w:tab/>
      </w:r>
      <w:r>
        <w:t xml:space="preserve">Security decision-making interface.</w:t>
      </w:r>
    </w:p>
    <w:p>
      <w:pPr>
        <w:pStyle w:val="FirstParagraph"/>
      </w:pPr>
      <w:r>
        <w:t xml:space="preserve">The security decision-making interface includes system operator</w:t>
      </w:r>
      <w:r>
        <w:t xml:space="preserve"> </w:t>
      </w:r>
      <w:r>
        <w:t xml:space="preserve">processes in integrated markets (e.g. SCUC and SCED) which co-optimise</w:t>
      </w:r>
      <w:r>
        <w:t xml:space="preserve"> </w:t>
      </w:r>
      <w:r>
        <w:t xml:space="preserve">the provision of energy and frequency control services</w:t>
      </w:r>
      <w:r>
        <w:t xml:space="preserve"> </w:t>
      </w:r>
      <w:r>
        <w:t xml:space="preserve">(</w:t>
      </w:r>
      <w:hyperlink w:anchor="ref-Chow2005">
        <w:r>
          <w:rPr>
            <w:rStyle w:val="Hyperlink"/>
            <w:bCs/>
            <w:b/>
          </w:rPr>
          <w:t xml:space="preserve">Chow2005?</w:t>
        </w:r>
      </w:hyperlink>
      <w:r>
        <w:t xml:space="preserve">)</w:t>
      </w:r>
      <w:r>
        <w:t xml:space="preserve">.</w:t>
      </w:r>
      <w:r>
        <w:t xml:space="preserve"> </w:t>
      </w:r>
      <w:r>
        <w:t xml:space="preserve">Literature has explored enhancing unit commitment and economic dispatch</w:t>
      </w:r>
      <w:r>
        <w:t xml:space="preserve"> </w:t>
      </w:r>
      <w:r>
        <w:t xml:space="preserve">processes for frequency control through frequency response constraints</w:t>
      </w:r>
      <w:r>
        <w:t xml:space="preserve"> </w:t>
      </w:r>
      <w:r>
        <w:t xml:space="preserve">(</w:t>
      </w:r>
      <w:hyperlink w:anchor="ref-Ela2014">
        <w:r>
          <w:rPr>
            <w:rStyle w:val="Hyperlink"/>
            <w:bCs/>
            <w:b/>
          </w:rPr>
          <w:t xml:space="preserve">Ela2014?</w:t>
        </w:r>
      </w:hyperlink>
      <w:r>
        <w:t xml:space="preserve">;</w:t>
      </w:r>
      <w:r>
        <w:t xml:space="preserve"> </w:t>
      </w:r>
      <w:hyperlink w:anchor="ref-Doherty2005">
        <w:r>
          <w:rPr>
            <w:rStyle w:val="Hyperlink"/>
            <w:bCs/>
            <w:b/>
          </w:rPr>
          <w:t xml:space="preserve">Doherty2005?</w:t>
        </w:r>
      </w:hyperlink>
      <w:r>
        <w:t xml:space="preserve">;</w:t>
      </w:r>
      <w:r>
        <w:t xml:space="preserve"> </w:t>
      </w:r>
      <w:hyperlink w:anchor="ref-Teng2015">
        <w:r>
          <w:rPr>
            <w:rStyle w:val="Hyperlink"/>
            <w:bCs/>
            <w:b/>
          </w:rPr>
          <w:t xml:space="preserve">Teng2015?</w:t>
        </w:r>
      </w:hyperlink>
      <w:r>
        <w:t xml:space="preserve">;</w:t>
      </w:r>
      <w:r>
        <w:t xml:space="preserve"> </w:t>
      </w:r>
      <w:hyperlink w:anchor="ref-Mancarella2017a">
        <w:r>
          <w:rPr>
            <w:rStyle w:val="Hyperlink"/>
            <w:bCs/>
            <w:b/>
          </w:rPr>
          <w:t xml:space="preserve">Mancarella2017a?</w:t>
        </w:r>
      </w:hyperlink>
      <w:r>
        <w:t xml:space="preserve">)</w:t>
      </w:r>
      <w:r>
        <w:t xml:space="preserve"> </w:t>
      </w:r>
      <w:r>
        <w:t xml:space="preserve">and, more</w:t>
      </w:r>
      <w:r>
        <w:t xml:space="preserve"> </w:t>
      </w:r>
      <w:r>
        <w:t xml:space="preserve">recently, inertia constraints</w:t>
      </w:r>
      <w:r>
        <w:t xml:space="preserve"> </w:t>
      </w:r>
      <w:r>
        <w:t xml:space="preserve">(</w:t>
      </w:r>
      <w:hyperlink w:anchor="ref-Gu2020">
        <w:r>
          <w:rPr>
            <w:rStyle w:val="Hyperlink"/>
            <w:bCs/>
            <w:b/>
          </w:rPr>
          <w:t xml:space="preserve">Gu2020?</w:t>
        </w:r>
      </w:hyperlink>
      <w:r>
        <w:t xml:space="preserve">;</w:t>
      </w:r>
      <w:r>
        <w:t xml:space="preserve"> </w:t>
      </w:r>
      <w:hyperlink w:anchor="ref-Johnson2020">
        <w:r>
          <w:rPr>
            <w:rStyle w:val="Hyperlink"/>
            <w:bCs/>
            <w:b/>
          </w:rPr>
          <w:t xml:space="preserve">Johnson2020?</w:t>
        </w:r>
      </w:hyperlink>
      <w:r>
        <w:t xml:space="preserve">)</w:t>
      </w:r>
      <w:r>
        <w:t xml:space="preserve">. However, these</w:t>
      </w:r>
      <w:r>
        <w:t xml:space="preserve"> </w:t>
      </w:r>
      <w:r>
        <w:t xml:space="preserve">studies implicitly assume that existing security decision-making</w:t>
      </w:r>
      <w:r>
        <w:t xml:space="preserve"> </w:t>
      </w:r>
      <w:r>
        <w:t xml:space="preserve">processes and frequency control products are adequate and efficient, and</w:t>
      </w:r>
      <w:r>
        <w:t xml:space="preserve"> </w:t>
      </w:r>
      <w:r>
        <w:t xml:space="preserve">will therefore perform well.</w:t>
      </w:r>
    </w:p>
    <w:bookmarkEnd w:id="107"/>
    <w:bookmarkEnd w:id="108"/>
    <w:bookmarkStart w:id="114" w:name="X6c08c7c79a4fed6f4599846c17bb2cae3e0eb78"/>
    <w:p>
      <w:pPr>
        <w:pStyle w:val="Heading4"/>
      </w:pPr>
      <w:r>
        <w:rPr>
          <w:rStyle w:val="SectionNumber"/>
        </w:rPr>
        <w:t xml:space="preserve">4.10.4.3</w:t>
      </w:r>
      <w:r>
        <w:tab/>
      </w:r>
      <w:r>
        <w:t xml:space="preserve">Interfaces between mechanisms in the frequency control strategy</w:t>
      </w:r>
    </w:p>
    <w:p>
      <w:pPr>
        <w:pStyle w:val="FirstParagraph"/>
      </w:pPr>
      <w:r>
        <w:t xml:space="preserve">Interfaces change over time and with technological innovation</w:t>
      </w:r>
      <w:r>
        <w:t xml:space="preserve"> </w:t>
      </w:r>
      <w:r>
        <w:t xml:space="preserve">(</w:t>
      </w:r>
      <w:hyperlink w:anchor="ref-Thorncraft2009">
        <w:r>
          <w:rPr>
            <w:rStyle w:val="Hyperlink"/>
            <w:bCs/>
            <w:b/>
          </w:rPr>
          <w:t xml:space="preserve">Thorncraft2009?</w:t>
        </w:r>
      </w:hyperlink>
      <w:r>
        <w:t xml:space="preserve">)</w:t>
      </w:r>
      <w:r>
        <w:t xml:space="preserve">. The arrival of highly-controllable loads and IBR in</w:t>
      </w:r>
      <w:r>
        <w:t xml:space="preserve"> </w:t>
      </w:r>
      <w:r>
        <w:t xml:space="preserve">the power system warrants the consideration of a</w:t>
      </w:r>
      <w:r>
        <w:t xml:space="preserve"> </w:t>
      </w:r>
      <w:r>
        <w:rPr>
          <w:iCs/>
          <w:i/>
        </w:rPr>
        <w:t xml:space="preserve">control system</w:t>
      </w:r>
      <w:r>
        <w:t xml:space="preserve"> </w:t>
      </w:r>
      <w:r>
        <w:t xml:space="preserve">process that is separate from physical characteristics and processes</w:t>
      </w:r>
      <w:r>
        <w:t xml:space="preserve"> </w:t>
      </w:r>
      <w:r>
        <w:t xml:space="preserve">(</w:t>
      </w:r>
      <w:hyperlink w:anchor="fig:interfaces">
        <w:r>
          <w:rPr>
            <w:rStyle w:val="Hyperlink"/>
          </w:rPr>
          <w:t xml:space="preserve">8</w:t>
        </w:r>
      </w:hyperlink>
      <w:r>
        <w:t xml:space="preserve">).</w:t>
      </w:r>
    </w:p>
    <w:p>
      <w:pPr>
        <w:pStyle w:val="CaptionedFigure"/>
      </w:pPr>
      <w:r>
        <w:drawing>
          <wp:inline>
            <wp:extent cx="3685123" cy="3571970"/>
            <wp:effectExtent b="0" l="0" r="0" t="0"/>
            <wp:docPr descr="Interfaces between the frequency control capability and the mechanisms within the frequency control strategy of a power system." title="" id="110" name="Picture"/>
            <a:graphic>
              <a:graphicData uri="http://schemas.openxmlformats.org/drawingml/2006/picture">
                <pic:pic>
                  <pic:nvPicPr>
                    <pic:cNvPr descr="source/figures/interfaces_03.png" id="111" name="Picture"/>
                    <pic:cNvPicPr>
                      <a:picLocks noChangeArrowheads="1" noChangeAspect="1"/>
                    </pic:cNvPicPr>
                  </pic:nvPicPr>
                  <pic:blipFill>
                    <a:blip r:embed="rId109"/>
                    <a:stretch>
                      <a:fillRect/>
                    </a:stretch>
                  </pic:blipFill>
                  <pic:spPr bwMode="auto">
                    <a:xfrm>
                      <a:off x="0" y="0"/>
                      <a:ext cx="3685123" cy="3571970"/>
                    </a:xfrm>
                    <a:prstGeom prst="rect">
                      <a:avLst/>
                    </a:prstGeom>
                    <a:noFill/>
                    <a:ln w="9525">
                      <a:noFill/>
                      <a:headEnd/>
                      <a:tailEnd/>
                    </a:ln>
                  </pic:spPr>
                </pic:pic>
              </a:graphicData>
            </a:graphic>
          </wp:inline>
        </w:drawing>
      </w:r>
    </w:p>
    <w:p>
      <w:pPr>
        <w:pStyle w:val="ImageCaption"/>
      </w:pPr>
      <w:r>
        <w:t xml:space="preserve">Figure 6: Interfaces between the frequency control capability and the mechanisms</w:t>
      </w:r>
      <w:r>
        <w:t xml:space="preserve"> </w:t>
      </w:r>
      <w:r>
        <w:t xml:space="preserve">within the frequency control strategy of a power</w:t>
      </w:r>
      <w:r>
        <w:t xml:space="preserve"> </w:t>
      </w:r>
      <w:r>
        <w:t xml:space="preserve">system.</w:t>
      </w:r>
    </w:p>
    <w:bookmarkStart w:id="112" w:name="Xb80b79901a2308c6054355cba036e5a5eb990e6"/>
    <w:p>
      <w:pPr>
        <w:pStyle w:val="Heading5"/>
      </w:pPr>
      <w:r>
        <w:rPr>
          <w:rStyle w:val="SectionNumber"/>
        </w:rPr>
        <w:t xml:space="preserve">4.10.4.3.1</w:t>
      </w:r>
      <w:r>
        <w:tab/>
      </w:r>
      <w:r>
        <w:t xml:space="preserve">Interface between control and procurement mechanisms.</w:t>
      </w:r>
    </w:p>
    <w:p>
      <w:pPr>
        <w:pStyle w:val="FirstParagraph"/>
      </w:pPr>
      <w:r>
        <w:t xml:space="preserve">Some literature has begun to explore the interface between control</w:t>
      </w:r>
      <w:r>
        <w:t xml:space="preserve"> </w:t>
      </w:r>
      <w:r>
        <w:t xml:space="preserve">mechanisms and market-based mechanisms.</w:t>
      </w:r>
      <w:r>
        <w:t xml:space="preserve"> </w:t>
      </w:r>
      <w:r>
        <w:t xml:space="preserve">(</w:t>
      </w:r>
      <w:hyperlink w:anchor="ref-Garcia2019a">
        <w:r>
          <w:rPr>
            <w:rStyle w:val="Hyperlink"/>
            <w:bCs/>
            <w:b/>
          </w:rPr>
          <w:t xml:space="preserve">Garcia2019a?</w:t>
        </w:r>
      </w:hyperlink>
      <w:r>
        <w:t xml:space="preserve">)</w:t>
      </w:r>
      <w:r>
        <w:t xml:space="preserve"> </w:t>
      </w:r>
      <w:r>
        <w:t xml:space="preserve">explore the impact</w:t>
      </w:r>
      <w:r>
        <w:t xml:space="preserve"> </w:t>
      </w:r>
      <w:r>
        <w:t xml:space="preserve">of interchangeability between FFR and PFC on total system frequency</w:t>
      </w:r>
      <w:r>
        <w:t xml:space="preserve"> </w:t>
      </w:r>
      <w:r>
        <w:t xml:space="preserve">control services costs.</w:t>
      </w:r>
      <w:r>
        <w:t xml:space="preserve"> </w:t>
      </w:r>
      <w:r>
        <w:t xml:space="preserve">(</w:t>
      </w:r>
      <w:hyperlink w:anchor="ref-Badesa2020">
        <w:r>
          <w:rPr>
            <w:rStyle w:val="Hyperlink"/>
            <w:bCs/>
            <w:b/>
          </w:rPr>
          <w:t xml:space="preserve">Badesa2020?</w:t>
        </w:r>
      </w:hyperlink>
      <w:r>
        <w:t xml:space="preserve">)</w:t>
      </w:r>
      <w:r>
        <w:t xml:space="preserve"> </w:t>
      </w:r>
      <w:r>
        <w:t xml:space="preserve">outlined an optimisation framework</w:t>
      </w:r>
      <w:r>
        <w:t xml:space="preserve"> </w:t>
      </w:r>
      <w:r>
        <w:t xml:space="preserve">that enables inertia, a reduction in contingency size and multi-speed</w:t>
      </w:r>
      <w:r>
        <w:t xml:space="preserve"> </w:t>
      </w:r>
      <w:r>
        <w:t xml:space="preserve">PFC to be procured based on RoCoF and frequency nadir constraints and,</w:t>
      </w:r>
      <w:r>
        <w:t xml:space="preserve"> </w:t>
      </w:r>
      <w:r>
        <w:t xml:space="preserve">more significantly, priced with a view of incentivising faster PFC and</w:t>
      </w:r>
      <w:r>
        <w:t xml:space="preserve"> </w:t>
      </w:r>
      <w:r>
        <w:t xml:space="preserve">synthetic/virtual inertia provision from IBR. However, these studies do</w:t>
      </w:r>
      <w:r>
        <w:t xml:space="preserve"> </w:t>
      </w:r>
      <w:r>
        <w:t xml:space="preserve">not consider how control mechanisms might interface with other</w:t>
      </w:r>
      <w:r>
        <w:t xml:space="preserve"> </w:t>
      </w:r>
      <w:r>
        <w:t xml:space="preserve">regulatory mechanisms, such as equipment performance standards.</w:t>
      </w:r>
    </w:p>
    <w:bookmarkEnd w:id="112"/>
    <w:bookmarkStart w:id="113" w:name="Xe79f36a8dfeef8249619989a06d6452b800304f"/>
    <w:p>
      <w:pPr>
        <w:pStyle w:val="Heading5"/>
      </w:pPr>
      <w:r>
        <w:rPr>
          <w:rStyle w:val="SectionNumber"/>
        </w:rPr>
        <w:t xml:space="preserve">4.10.4.3.2</w:t>
      </w:r>
      <w:r>
        <w:tab/>
      </w:r>
      <w:r>
        <w:t xml:space="preserve">Interface between procurement mechanisms.</w:t>
      </w:r>
    </w:p>
    <w:p>
      <w:pPr>
        <w:pStyle w:val="FirstParagraph"/>
      </w:pPr>
      <w:r>
        <w:t xml:space="preserve">In framing the design challenge for power system security services in</w:t>
      </w:r>
      <w:r>
        <w:t xml:space="preserve"> </w:t>
      </w:r>
      <w:r>
        <w:t xml:space="preserve">the NEM,</w:t>
      </w:r>
      <w:r>
        <w:t xml:space="preserve"> </w:t>
      </w:r>
      <w:r>
        <w:t xml:space="preserve">(</w:t>
      </w:r>
      <w:hyperlink w:anchor="ref-MacGill2020">
        <w:r>
          <w:rPr>
            <w:rStyle w:val="Hyperlink"/>
            <w:bCs/>
            <w:b/>
          </w:rPr>
          <w:t xml:space="preserve">MacGill2020?</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Skinner2020">
        <w:r>
          <w:rPr>
            <w:rStyle w:val="Hyperlink"/>
            <w:bCs/>
            <w:b/>
          </w:rPr>
          <w:t xml:space="preserve">Skinner2020?</w:t>
        </w:r>
      </w:hyperlink>
      <w:r>
        <w:t xml:space="preserve">)</w:t>
      </w:r>
      <w:r>
        <w:t xml:space="preserve"> </w:t>
      </w:r>
      <w:r>
        <w:t xml:space="preserve">acknowledge that</w:t>
      </w:r>
      <w:r>
        <w:t xml:space="preserve"> </w:t>
      </w:r>
      <w:r>
        <w:t xml:space="preserve">there is a choice between, or potential combination of regulatory</w:t>
      </w:r>
      <w:r>
        <w:t xml:space="preserve"> </w:t>
      </w:r>
      <w:r>
        <w:t xml:space="preserve">mechanisms and market-based mechanisms for procurement, with the latter</w:t>
      </w:r>
      <w:r>
        <w:t xml:space="preserve"> </w:t>
      </w:r>
      <w:r>
        <w:t xml:space="preserve">two exploring the various advantages and disadvantages of each option.</w:t>
      </w:r>
      <w:r>
        <w:t xml:space="preserve"> </w:t>
      </w:r>
      <w:r>
        <w:t xml:space="preserve">In particular,</w:t>
      </w:r>
      <w:r>
        <w:t xml:space="preserve"> </w:t>
      </w:r>
      <w:r>
        <w:t xml:space="preserve">(</w:t>
      </w:r>
      <w:hyperlink w:anchor="ref-Billimoria2020">
        <w:r>
          <w:rPr>
            <w:rStyle w:val="Hyperlink"/>
            <w:bCs/>
            <w:b/>
          </w:rPr>
          <w:t xml:space="preserve">Billimoria2020?</w:t>
        </w:r>
      </w:hyperlink>
      <w:r>
        <w:t xml:space="preserve">)</w:t>
      </w:r>
      <w:r>
        <w:t xml:space="preserve"> </w:t>
      </w:r>
      <w:r>
        <w:t xml:space="preserve">explores various procurement models and</w:t>
      </w:r>
      <w:r>
        <w:t xml:space="preserve"> </w:t>
      </w:r>
      <w:r>
        <w:t xml:space="preserve">how regulatory and market-based mechanisms may interact within them.</w:t>
      </w:r>
      <w:r>
        <w:t xml:space="preserve"> </w:t>
      </w:r>
      <w:r>
        <w:t xml:space="preserve">However, these procurement models are highly generic and further work is</w:t>
      </w:r>
      <w:r>
        <w:t xml:space="preserve"> </w:t>
      </w:r>
      <w:r>
        <w:t xml:space="preserve">required to determine how existing and emerging control mechanisms might</w:t>
      </w:r>
      <w:r>
        <w:t xml:space="preserve"> </w:t>
      </w:r>
      <w:r>
        <w:t xml:space="preserve">be structured in each of the models. Furthermore, there is a need to</w:t>
      </w:r>
      <w:r>
        <w:t xml:space="preserve"> </w:t>
      </w:r>
      <w:r>
        <w:t xml:space="preserve">understand how these procurement models might interface with and</w:t>
      </w:r>
      <w:r>
        <w:t xml:space="preserve"> </w:t>
      </w:r>
      <w:r>
        <w:t xml:space="preserve">integrate into existing and emerging market processes if an optimum for</w:t>
      </w:r>
      <w:r>
        <w:t xml:space="preserve"> </w:t>
      </w:r>
      <w:r>
        <w:t xml:space="preserve">the entire system is to be achieved</w:t>
      </w:r>
      <w:r>
        <w:t xml:space="preserve"> </w:t>
      </w:r>
      <w:r>
        <w:t xml:space="preserve">(</w:t>
      </w:r>
      <w:hyperlink w:anchor="ref-MacGill2020">
        <w:r>
          <w:rPr>
            <w:rStyle w:val="Hyperlink"/>
            <w:bCs/>
            <w:b/>
          </w:rPr>
          <w:t xml:space="preserve">MacGill2020?</w:t>
        </w:r>
      </w:hyperlink>
      <w:r>
        <w:t xml:space="preserve">)</w:t>
      </w:r>
      <w:r>
        <w:t xml:space="preserve">.</w:t>
      </w:r>
    </w:p>
    <w:bookmarkEnd w:id="113"/>
    <w:bookmarkEnd w:id="114"/>
    <w:bookmarkEnd w:id="115"/>
    <w:bookmarkEnd w:id="116"/>
    <w:bookmarkStart w:id="117" w:name="conclusion"/>
    <w:p>
      <w:pPr>
        <w:pStyle w:val="Heading2"/>
      </w:pPr>
      <w:r>
        <w:rPr>
          <w:rStyle w:val="SectionNumber"/>
        </w:rPr>
        <w:t xml:space="preserve">4.11</w:t>
      </w:r>
      <w:r>
        <w:tab/>
      </w:r>
      <w:r>
        <w:t xml:space="preserve">Conclusion</w:t>
      </w:r>
    </w:p>
    <w:p>
      <w:pPr>
        <w:pStyle w:val="FirstParagraph"/>
      </w:pPr>
      <w:r>
        <w:t xml:space="preserve">Frequency control is vital to the secure operation of a power system.</w:t>
      </w:r>
      <w:r>
        <w:t xml:space="preserve"> </w:t>
      </w:r>
      <w:r>
        <w:t xml:space="preserve">The inherent characteristics and control systems of IBR differ from</w:t>
      </w:r>
      <w:r>
        <w:t xml:space="preserve"> </w:t>
      </w:r>
      <w:r>
        <w:t xml:space="preserve">those of synchronous machines and this poses both opportunities and</w:t>
      </w:r>
      <w:r>
        <w:t xml:space="preserve"> </w:t>
      </w:r>
      <w:r>
        <w:t xml:space="preserve">challenges to frequency control arrangements in mandatory pool markets</w:t>
      </w:r>
      <w:r>
        <w:t xml:space="preserve"> </w:t>
      </w:r>
      <w:r>
        <w:t xml:space="preserve">with growing instantaneous penetrations of IBR. The frequency control</w:t>
      </w:r>
      <w:r>
        <w:t xml:space="preserve"> </w:t>
      </w:r>
      <w:r>
        <w:t xml:space="preserve">performance of a power system is highly influenced by the frequency</w:t>
      </w:r>
      <w:r>
        <w:t xml:space="preserve"> </w:t>
      </w:r>
      <w:r>
        <w:t xml:space="preserve">control strategy, which consists of the control mechanisms, electricity</w:t>
      </w:r>
      <w:r>
        <w:t xml:space="preserve"> </w:t>
      </w:r>
      <w:r>
        <w:t xml:space="preserve">market design and the regulatory mechanisms that are in place, and the</w:t>
      </w:r>
      <w:r>
        <w:t xml:space="preserve"> </w:t>
      </w:r>
      <w:r>
        <w:t xml:space="preserve">frequency control capability of its resources. Determining the</w:t>
      </w:r>
      <w:r>
        <w:t xml:space="preserve"> </w:t>
      </w:r>
      <w:r>
        <w:t xml:space="preserve">appropriate combination of these mechanisms will require examining the</w:t>
      </w:r>
      <w:r>
        <w:t xml:space="preserve"> </w:t>
      </w:r>
      <w:r>
        <w:t xml:space="preserve">interfaces between market-based, regulatory and control mechanisms and</w:t>
      </w:r>
      <w:r>
        <w:t xml:space="preserve"> </w:t>
      </w:r>
      <w:r>
        <w:t xml:space="preserve">identifying the benefits, costs and trade-offs associated with</w:t>
      </w:r>
      <w:r>
        <w:t xml:space="preserve"> </w:t>
      </w:r>
      <w:r>
        <w:t xml:space="preserve">particular design choices. This will enable electricity market designers</w:t>
      </w:r>
      <w:r>
        <w:t xml:space="preserve"> </w:t>
      </w:r>
      <w:r>
        <w:t xml:space="preserve">to make an informed choice in implementing effective and efficient</w:t>
      </w:r>
      <w:r>
        <w:t xml:space="preserve"> </w:t>
      </w:r>
      <w:r>
        <w:t xml:space="preserve">frequency control arrangements in low-carbon electricity markets.</w:t>
      </w:r>
    </w:p>
    <w:bookmarkEnd w:id="117"/>
    <w:bookmarkEnd w:id="118"/>
    <w:bookmarkStart w:id="119" w:name="sec:research_framework"/>
    <w:p>
      <w:pPr>
        <w:pStyle w:val="Heading1"/>
      </w:pPr>
      <w:r>
        <w:rPr>
          <w:rStyle w:val="SectionNumber"/>
        </w:rPr>
        <w:t xml:space="preserve">5</w:t>
      </w:r>
      <w:r>
        <w:tab/>
      </w:r>
      <w:r>
        <w:t xml:space="preserve">Research framework</w:t>
      </w:r>
    </w:p>
    <w:bookmarkEnd w:id="119"/>
    <w:bookmarkStart w:id="176" w:name="sec:fcs"/>
    <w:p>
      <w:pPr>
        <w:pStyle w:val="Heading1"/>
      </w:pPr>
      <w:r>
        <w:rPr>
          <w:rStyle w:val="SectionNumber"/>
        </w:rPr>
        <w:t xml:space="preserve">6</w:t>
      </w:r>
      <w:r>
        <w:tab/>
      </w:r>
      <w:r>
        <w:t xml:space="preserve">Frequency control arrangements: insights from the National Electricity Market</w:t>
      </w:r>
    </w:p>
    <w:bookmarkStart w:id="120"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20"/>
    <w:bookmarkStart w:id="121"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1"/>
    <w:bookmarkStart w:id="123"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2"/>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7"/>
        </w:numPr>
      </w:pPr>
      <w:r>
        <w:t xml:space="preserve">Mandate or incentivise participant behaviour in the energy market that facilitates system balancing. This includes enforcing dispatch compliance or penalising participant portfolio imbalances; and</w:t>
      </w:r>
    </w:p>
    <w:p>
      <w:pPr>
        <w:numPr>
          <w:ilvl w:val="0"/>
          <w:numId w:val="1007"/>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8"/>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8"/>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3"/>
    <w:bookmarkStart w:id="129" w:name="sec:fcs-context"/>
    <w:p>
      <w:pPr>
        <w:pStyle w:val="Heading2"/>
      </w:pPr>
      <w:r>
        <w:rPr>
          <w:rStyle w:val="SectionNumber"/>
        </w:rPr>
        <w:t xml:space="preserve">6.4</w:t>
      </w:r>
      <w:r>
        <w:tab/>
      </w:r>
      <w:r>
        <w:t xml:space="preserve">Context</w:t>
      </w:r>
    </w:p>
    <w:bookmarkStart w:id="124"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4"/>
    <w:bookmarkStart w:id="126" w:name="Xc82674c6760c115599413c45308acdf9ca7a6e4"/>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25"/>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26"/>
    <w:bookmarkStart w:id="127"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7"/>
    <w:bookmarkStart w:id="128"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8"/>
    <w:bookmarkEnd w:id="129"/>
    <w:bookmarkStart w:id="133" w:name="designing-frequency-control-arrangements"/>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9"/>
        </w:numPr>
      </w:pPr>
      <w:r>
        <w:t xml:space="preserve">FCS procurement;</w:t>
      </w:r>
    </w:p>
    <w:p>
      <w:pPr>
        <w:numPr>
          <w:ilvl w:val="0"/>
          <w:numId w:val="1009"/>
        </w:numPr>
      </w:pPr>
      <w:r>
        <w:t xml:space="preserve">Price formation, which when efficient should lead to FCS prices not only reflecting the true cost of the service, but also its true value to the system; and</w:t>
      </w:r>
    </w:p>
    <w:p>
      <w:pPr>
        <w:numPr>
          <w:ilvl w:val="0"/>
          <w:numId w:val="1009"/>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31"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30"/>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31"/>
    <w:bookmarkStart w:id="132"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2"/>
    <w:bookmarkEnd w:id="133"/>
    <w:bookmarkStart w:id="151" w:name="sec:fcs-nem"/>
    <w:p>
      <w:pPr>
        <w:pStyle w:val="Heading2"/>
      </w:pPr>
      <w:r>
        <w:rPr>
          <w:rStyle w:val="SectionNumber"/>
        </w:rPr>
        <w:t xml:space="preserve">6.6</w:t>
      </w:r>
      <w:r>
        <w:tab/>
      </w:r>
      <w:r>
        <w:t xml:space="preserve">Frequency control arrangements in the Australian National Electricity Market</w:t>
      </w:r>
    </w:p>
    <w:bookmarkStart w:id="137"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7).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5" name="Picture"/>
            <a:graphic>
              <a:graphicData uri="http://schemas.openxmlformats.org/drawingml/2006/picture">
                <pic:pic>
                  <pic:nvPicPr>
                    <pic:cNvPr descr="source/figures/NEM.png" id="136" name="Picture"/>
                    <pic:cNvPicPr>
                      <a:picLocks noChangeArrowheads="1" noChangeAspect="1"/>
                    </pic:cNvPicPr>
                  </pic:nvPicPr>
                  <pic:blipFill>
                    <a:blip r:embed="rId134"/>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7"/>
    <w:bookmarkStart w:id="140"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8"/>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2020e</w:t>
        </w:r>
      </w:hyperlink>
      <w:r>
        <w:t xml:space="preserve">)</w:t>
      </w:r>
      <w:r>
        <w:t xml:space="preserve">.</w:t>
      </w:r>
      <w:r>
        <w:t xml:space="preserve"> </w:t>
      </w:r>
      <w:bookmarkStart w:id="139" w:name="tbl:fcs-fcas"/>
      <w:bookmarkEnd w:id="139"/>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e).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40"/>
    <w:bookmarkStart w:id="141"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1"/>
    <w:bookmarkStart w:id="145"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8).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3" name="Picture"/>
            <a:graphic>
              <a:graphicData uri="http://schemas.openxmlformats.org/drawingml/2006/picture">
                <pic:pic>
                  <pic:nvPicPr>
                    <pic:cNvPr descr="source/figures/synchronous_ibr_entry_exit.eps" id="144" name="Picture"/>
                    <pic:cNvPicPr>
                      <a:picLocks noChangeArrowheads="1" noChangeAspect="1"/>
                    </pic:cNvPicPr>
                  </pic:nvPicPr>
                  <pic:blipFill>
                    <a:blip r:embed="rId142"/>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5"/>
    <w:bookmarkStart w:id="150"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6" w:name="control-mechanisms"/>
    <w:p>
      <w:pPr>
        <w:pStyle w:val="Heading4"/>
      </w:pPr>
      <w:r>
        <w:rPr>
          <w:rStyle w:val="SectionNumber"/>
        </w:rPr>
        <w:t xml:space="preserve">6.6.5.1</w:t>
      </w:r>
      <w:r>
        <w:tab/>
      </w:r>
      <w:r>
        <w:t xml:space="preserve">Control mechanisms:</w:t>
      </w:r>
    </w:p>
    <w:p>
      <w:pPr>
        <w:numPr>
          <w:ilvl w:val="0"/>
          <w:numId w:val="1010"/>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2020e</w:t>
        </w:r>
      </w:hyperlink>
      <w:r>
        <w:t xml:space="preserve">)</w:t>
      </w:r>
      <w:r>
        <w:t xml:space="preserve">.</w:t>
      </w:r>
    </w:p>
    <w:p>
      <w:pPr>
        <w:numPr>
          <w:ilvl w:val="0"/>
          <w:numId w:val="1010"/>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0"/>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46"/>
    <w:bookmarkStart w:id="147" w:name="market-based-mechanisms"/>
    <w:p>
      <w:pPr>
        <w:pStyle w:val="Heading4"/>
      </w:pPr>
      <w:r>
        <w:rPr>
          <w:rStyle w:val="SectionNumber"/>
        </w:rPr>
        <w:t xml:space="preserve">6.6.5.2</w:t>
      </w:r>
      <w:r>
        <w:tab/>
      </w:r>
      <w:r>
        <w:t xml:space="preserve">Market-based mechanisms:</w:t>
      </w:r>
    </w:p>
    <w:p>
      <w:pPr>
        <w:numPr>
          <w:ilvl w:val="0"/>
          <w:numId w:val="1011"/>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1"/>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1"/>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7"/>
    <w:bookmarkStart w:id="149" w:name="regulatory-mechanisms"/>
    <w:p>
      <w:pPr>
        <w:pStyle w:val="Heading4"/>
      </w:pPr>
      <w:r>
        <w:rPr>
          <w:rStyle w:val="SectionNumber"/>
        </w:rPr>
        <w:t xml:space="preserve">6.6.5.3</w:t>
      </w:r>
      <w:r>
        <w:tab/>
      </w:r>
      <w:r>
        <w:t xml:space="preserve">Regulatory mechanisms:</w:t>
      </w:r>
    </w:p>
    <w:p>
      <w:pPr>
        <w:numPr>
          <w:ilvl w:val="0"/>
          <w:numId w:val="1012"/>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8"/>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2"/>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2020i</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9"/>
    <w:bookmarkEnd w:id="150"/>
    <w:bookmarkEnd w:id="151"/>
    <w:bookmarkStart w:id="152"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52"/>
    <w:bookmarkStart w:id="157"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9). Wind and solar farms were either unresponsive, tripped due to protection settings in their inverters, or reduced their active power output in line with performance standards negotiated in their connection agreements (middle and bottom frames in Figure 9).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3"/>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5" name="Picture"/>
            <a:graphic>
              <a:graphicData uri="http://schemas.openxmlformats.org/drawingml/2006/picture">
                <pic:pic>
                  <pic:nvPicPr>
                    <pic:cNvPr descr="source/figures/all_responses_25082018.eps" id="156"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2020k</w:t>
        </w:r>
      </w:hyperlink>
      <w:r>
        <w:t xml:space="preserve">)</w:t>
      </w:r>
      <w:r>
        <w:t xml:space="preserve">.</w:t>
      </w:r>
    </w:p>
    <w:bookmarkEnd w:id="157"/>
    <w:bookmarkStart w:id="161"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3"/>
        </w:numPr>
        <w:pStyle w:val="Compact"/>
      </w:pPr>
      <w:r>
        <w:t xml:space="preserve">A lack of fast and decentralised tight-deadband PFR supporting slower SFR;</w:t>
      </w:r>
    </w:p>
    <w:p>
      <w:pPr>
        <w:numPr>
          <w:ilvl w:val="0"/>
          <w:numId w:val="1013"/>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3"/>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10).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9" name="Picture"/>
            <a:graphic>
              <a:graphicData uri="http://schemas.openxmlformats.org/drawingml/2006/picture">
                <pic:pic>
                  <pic:nvPicPr>
                    <pic:cNvPr descr="source/figures/regional_SCADA_frequencies.eps" id="160" name="Picture"/>
                    <pic:cNvPicPr>
                      <a:picLocks noChangeArrowheads="1" noChangeAspect="1"/>
                    </pic:cNvPicPr>
                  </pic:nvPicPr>
                  <pic:blipFill>
                    <a:blip r:embed="rId158"/>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61"/>
    <w:bookmarkStart w:id="173"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11).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3" name="Picture"/>
            <a:graphic>
              <a:graphicData uri="http://schemas.openxmlformats.org/drawingml/2006/picture">
                <pic:pic>
                  <pic:nvPicPr>
                    <pic:cNvPr descr="source/figures/energy_raise_fcas_vwap_quarterly_2014_2020_v2.png" id="164" name="Picture"/>
                    <pic:cNvPicPr>
                      <a:picLocks noChangeArrowheads="1" noChangeAspect="1"/>
                    </pic:cNvPicPr>
                  </pic:nvPicPr>
                  <pic:blipFill>
                    <a:blip r:embed="rId162"/>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12),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6" name="Picture"/>
            <a:graphic>
              <a:graphicData uri="http://schemas.openxmlformats.org/drawingml/2006/picture">
                <pic:pic>
                  <pic:nvPicPr>
                    <pic:cNvPr descr="source/figures/nem_nofb_frequency_2005_2018_digitised.eps" id="167" name="Picture"/>
                    <pic:cNvPicPr>
                      <a:picLocks noChangeArrowheads="1" noChangeAspect="1"/>
                    </pic:cNvPicPr>
                  </pic:nvPicPr>
                  <pic:blipFill>
                    <a:blip r:embed="rId165"/>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8"/>
      </w:r>
      <w:r>
        <w:t xml:space="preserve"> </w:t>
      </w:r>
      <w:r>
        <w:t xml:space="preserve">suggests that mandatory PFR has delivered better control of frequency within the NOFB (see Figure 13)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70" name="Picture"/>
            <a:graphic>
              <a:graphicData uri="http://schemas.openxmlformats.org/drawingml/2006/picture">
                <pic:pic>
                  <pic:nvPicPr>
                    <pic:cNvPr descr="source/figures/f_stddev_2009_2021.png" id="171" name="Picture"/>
                    <pic:cNvPicPr>
                      <a:picLocks noChangeArrowheads="1" noChangeAspect="1"/>
                    </pic:cNvPicPr>
                  </pic:nvPicPr>
                  <pic:blipFill>
                    <a:blip r:embed="rId169"/>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4"/>
        </w:numPr>
        <w:pStyle w:val="Compact"/>
      </w:pPr>
      <w:r>
        <w:t xml:space="preserve">Procure contingency FCAS volumes based on system inertia;</w:t>
      </w:r>
    </w:p>
    <w:p>
      <w:pPr>
        <w:numPr>
          <w:ilvl w:val="0"/>
          <w:numId w:val="1014"/>
        </w:numPr>
        <w:pStyle w:val="Compact"/>
      </w:pPr>
      <w:r>
        <w:t xml:space="preserve">Apply regional contingency and regulation FCAS requirements; and</w:t>
      </w:r>
    </w:p>
    <w:p>
      <w:pPr>
        <w:numPr>
          <w:ilvl w:val="0"/>
          <w:numId w:val="1014"/>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w:t>
        </w:r>
      </w:hyperlink>
      <w:r>
        <w:t xml:space="preserve">)</w:t>
      </w:r>
      <w:r>
        <w:t xml:space="preserve">, will likely improve AEMO’s operational toolbox for managing a low-inertia NEM.</w:t>
      </w:r>
    </w:p>
    <w:bookmarkStart w:id="172"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2"/>
    <w:bookmarkEnd w:id="173"/>
    <w:bookmarkStart w:id="174"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6c60a147e49364a37325ec3c8c342d718257c70">
        <w:r>
          <w:rPr>
            <w:rStyle w:val="Hyperlink"/>
          </w:rPr>
          <w:t xml:space="preserve">2020</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2020l</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w:t>
        </w:r>
      </w:hyperlink>
      <w:r>
        <w:t xml:space="preserve">)</w:t>
      </w:r>
      <w:r>
        <w:t xml:space="preserve">. However, the shape of these system demand curves and how they account for interdependent or interchangeable FCAS will ultimately dictate their success.</w:t>
      </w:r>
    </w:p>
    <w:bookmarkEnd w:id="174"/>
    <w:bookmarkStart w:id="175" w:name="conclusion-1"/>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5"/>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5"/>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5"/>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5"/>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5"/>
    <w:bookmarkEnd w:id="176"/>
    <w:bookmarkStart w:id="182" w:name="sec:fourth"/>
    <w:p>
      <w:pPr>
        <w:pStyle w:val="Heading1"/>
      </w:pPr>
      <w:r>
        <w:rPr>
          <w:rStyle w:val="SectionNumber"/>
        </w:rPr>
        <w:t xml:space="preserve">7</w:t>
      </w:r>
      <w:r>
        <w:tab/>
      </w:r>
      <w:r>
        <w:t xml:space="preserve">Final research study</w:t>
      </w:r>
    </w:p>
    <w:bookmarkStart w:id="177" w:name="introduction-1"/>
    <w:p>
      <w:pPr>
        <w:pStyle w:val="Heading2"/>
      </w:pPr>
      <w:r>
        <w:rPr>
          <w:rStyle w:val="SectionNumber"/>
        </w:rPr>
        <w:t xml:space="preserve">7.1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177"/>
    <w:bookmarkStart w:id="178" w:name="method"/>
    <w:p>
      <w:pPr>
        <w:pStyle w:val="Heading2"/>
      </w:pPr>
      <w:r>
        <w:rPr>
          <w:rStyle w:val="SectionNumber"/>
        </w:rPr>
        <w:t xml:space="preserve">7.2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End w:id="178"/>
    <w:bookmarkStart w:id="179" w:name="results"/>
    <w:p>
      <w:pPr>
        <w:pStyle w:val="Heading2"/>
      </w:pPr>
      <w:r>
        <w:rPr>
          <w:rStyle w:val="SectionNumber"/>
        </w:rPr>
        <w:t xml:space="preserve">7.3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179"/>
    <w:bookmarkStart w:id="180" w:name="discussion"/>
    <w:p>
      <w:pPr>
        <w:pStyle w:val="Heading2"/>
      </w:pPr>
      <w:r>
        <w:rPr>
          <w:rStyle w:val="SectionNumber"/>
        </w:rPr>
        <w:t xml:space="preserve">7.4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180"/>
    <w:bookmarkStart w:id="181" w:name="conclusion-2"/>
    <w:p>
      <w:pPr>
        <w:pStyle w:val="Heading2"/>
      </w:pPr>
      <w:r>
        <w:rPr>
          <w:rStyle w:val="SectionNumber"/>
        </w:rPr>
        <w:t xml:space="preserve">7.5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181"/>
    <w:bookmarkEnd w:id="182"/>
    <w:bookmarkStart w:id="262" w:name="sec:reserves"/>
    <w:p>
      <w:pPr>
        <w:pStyle w:val="Heading1"/>
      </w:pPr>
      <w:r>
        <w:rPr>
          <w:rStyle w:val="SectionNumber"/>
        </w:rPr>
        <w:t xml:space="preserve">8</w:t>
      </w:r>
      <w:r>
        <w:tab/>
      </w:r>
      <w:r>
        <w:t xml:space="preserve">Quantifying reserve capabilities: an Australian case study with increasing penetrations of renewables</w:t>
      </w:r>
    </w:p>
    <w:bookmarkStart w:id="183" w:name="link-to-thesis-1"/>
    <w:p>
      <w:pPr>
        <w:pStyle w:val="Heading2"/>
      </w:pPr>
      <w:r>
        <w:rPr>
          <w:rStyle w:val="SectionNumber"/>
        </w:rPr>
        <w:t xml:space="preserve">8.1</w:t>
      </w:r>
      <w:r>
        <w:tab/>
      </w:r>
      <w:r>
        <w:t xml:space="preserve">Link to thesis</w:t>
      </w:r>
    </w:p>
    <w:p>
      <w:pPr>
        <w:pStyle w:val="FirstParagraph"/>
      </w:pPr>
      <w:r>
        <w:t xml:space="preserve">Link to the rest of the thesis</w:t>
      </w:r>
    </w:p>
    <w:bookmarkEnd w:id="183"/>
    <w:bookmarkStart w:id="184" w:name="abstract-2"/>
    <w:p>
      <w:pPr>
        <w:pStyle w:val="Heading2"/>
      </w:pPr>
      <w:r>
        <w:rPr>
          <w:rStyle w:val="SectionNumber"/>
        </w:rPr>
        <w:t xml:space="preserve">8.2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84"/>
    <w:bookmarkStart w:id="185" w:name="introduction-2"/>
    <w:p>
      <w:pPr>
        <w:pStyle w:val="Heading2"/>
      </w:pPr>
      <w:r>
        <w:rPr>
          <w:rStyle w:val="SectionNumber"/>
        </w:rPr>
        <w:t xml:space="preserve">8.3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6"/>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6"/>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7"/>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7"/>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7"/>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8"/>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8"/>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8"/>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19"/>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19"/>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6.4 provides an overview of how balancing flexibility is enabled and procured through the NEM’s operational practices and market design. In Section 6.5, we describe a methodology to quantify available reserves and footroom across deployment horizons for various resource types. Then, in Section 6.6,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6.7.</w:t>
      </w:r>
    </w:p>
    <w:bookmarkEnd w:id="185"/>
    <w:bookmarkStart w:id="198" w:name="sec:reserves-flexnem"/>
    <w:p>
      <w:pPr>
        <w:pStyle w:val="Heading2"/>
      </w:pPr>
      <w:r>
        <w:rPr>
          <w:rStyle w:val="SectionNumber"/>
        </w:rPr>
        <w:t xml:space="preserve">8.4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6.4.3 and the proposal to introduce an</w:t>
      </w:r>
      <w:r>
        <w:t xml:space="preserve"> </w:t>
      </w:r>
      <w:r>
        <w:rPr>
          <w:iCs/>
          <w:i/>
        </w:rPr>
        <w:t xml:space="preserve">operating reserve</w:t>
      </w:r>
      <w:r>
        <w:t xml:space="preserve"> </w:t>
      </w:r>
      <w:r>
        <w:t xml:space="preserve">product in Section 6.4.3.1. The policy debate surrounding the usefulness and design of this potential reserve product provides the primary motivation for our case study in Section 6.6.</w:t>
      </w:r>
    </w:p>
    <w:bookmarkStart w:id="190" w:name="market-design"/>
    <w:p>
      <w:pPr>
        <w:pStyle w:val="Heading3"/>
      </w:pPr>
      <w:r>
        <w:rPr>
          <w:rStyle w:val="SectionNumber"/>
        </w:rPr>
        <w:t xml:space="preserve">8.4.1</w:t>
      </w:r>
      <w:r>
        <w:tab/>
      </w:r>
      <w:r>
        <w:t xml:space="preserve">Market design</w:t>
      </w:r>
    </w:p>
    <w:bookmarkStart w:id="187" w:name="real-time-markets"/>
    <w:p>
      <w:pPr>
        <w:pStyle w:val="Heading4"/>
      </w:pPr>
      <w:r>
        <w:rPr>
          <w:rStyle w:val="SectionNumber"/>
        </w:rPr>
        <w:t xml:space="preserve">8.4.1.1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6.4.3)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0"/>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0"/>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0"/>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86"/>
      </w:r>
      <w:r>
        <w:t xml:space="preserve"> </w:t>
      </w:r>
      <w:r>
        <w:t xml:space="preserve">(</w:t>
      </w:r>
      <w:hyperlink w:anchor="X3f3a611a4aac621679da42392957269bd79b28f">
        <w:r>
          <w:rPr>
            <w:rStyle w:val="Hyperlink"/>
          </w:rPr>
          <w:t xml:space="preserve">Australian Energy Market Operator, 2020m</w:t>
        </w:r>
      </w:hyperlink>
      <w:r>
        <w:t xml:space="preserve">)</w:t>
      </w:r>
      <w:r>
        <w:t xml:space="preserve">.</w:t>
      </w:r>
    </w:p>
    <w:bookmarkEnd w:id="187"/>
    <w:bookmarkStart w:id="188" w:name="forward-markets"/>
    <w:p>
      <w:pPr>
        <w:pStyle w:val="Heading4"/>
      </w:pPr>
      <w:r>
        <w:rPr>
          <w:rStyle w:val="SectionNumber"/>
        </w:rPr>
        <w:t xml:space="preserve">8.4.1.2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8"/>
    <w:bookmarkStart w:id="189" w:name="limitations"/>
    <w:p>
      <w:pPr>
        <w:pStyle w:val="Heading4"/>
      </w:pPr>
      <w:r>
        <w:rPr>
          <w:rStyle w:val="SectionNumber"/>
        </w:rPr>
        <w:t xml:space="preserve">8.4.1.3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1"/>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1"/>
        </w:numPr>
        <w:pStyle w:val="Compact"/>
      </w:pPr>
      <w:r>
        <w:t xml:space="preserve">Aside from the procurement of footroom that is only deployed following frequency excursions (Section 6.4.3), there are currently no mechanisms in the NEM that remunerate resources for providing sustained downwards flexibility to the system.</w:t>
      </w:r>
    </w:p>
    <w:p>
      <w:pPr>
        <w:numPr>
          <w:ilvl w:val="0"/>
          <w:numId w:val="1021"/>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1"/>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9"/>
    <w:bookmarkEnd w:id="190"/>
    <w:bookmarkStart w:id="192" w:name="sec:reserves-ahead_soint"/>
    <w:p>
      <w:pPr>
        <w:pStyle w:val="Heading3"/>
      </w:pPr>
      <w:r>
        <w:rPr>
          <w:rStyle w:val="SectionNumber"/>
        </w:rPr>
        <w:t xml:space="preserve">8.4.2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2"/>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2020n</w:t>
        </w:r>
      </w:hyperlink>
      <w:r>
        <w:t xml:space="preserve">,</w:t>
      </w:r>
      <w:r>
        <w:t xml:space="preserve"> </w:t>
      </w:r>
      <w:hyperlink w:anchor="X3d4c8dbacd98ce489f3f9224cc3851ddc516c4d">
        <w:r>
          <w:rPr>
            <w:rStyle w:val="Hyperlink"/>
          </w:rPr>
          <w:t xml:space="preserve">2012</w:t>
        </w:r>
      </w:hyperlink>
      <w:r>
        <w:t xml:space="preserve">)</w:t>
      </w:r>
      <w:r>
        <w:t xml:space="preserve">.</w:t>
      </w:r>
    </w:p>
    <w:p>
      <w:pPr>
        <w:numPr>
          <w:ilvl w:val="0"/>
          <w:numId w:val="1022"/>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9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92"/>
    <w:bookmarkStart w:id="197" w:name="sec:reserves-nemreserves"/>
    <w:p>
      <w:pPr>
        <w:pStyle w:val="Heading3"/>
      </w:pPr>
      <w:r>
        <w:rPr>
          <w:rStyle w:val="SectionNumber"/>
        </w:rPr>
        <w:t xml:space="preserve">8.4.3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14).</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94" name="Picture"/>
            <a:graphic>
              <a:graphicData uri="http://schemas.openxmlformats.org/drawingml/2006/picture">
                <pic:pic>
                  <pic:nvPicPr>
                    <pic:cNvPr descr="source/figures/raise5minq42020.png" id="195" name="Picture"/>
                    <pic:cNvPicPr>
                      <a:picLocks noChangeArrowheads="1" noChangeAspect="1"/>
                    </pic:cNvPicPr>
                  </pic:nvPicPr>
                  <pic:blipFill>
                    <a:blip r:embed="rId19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96" w:name="sec:reserves-orcontext"/>
    <w:p>
      <w:pPr>
        <w:pStyle w:val="Heading4"/>
      </w:pPr>
      <w:r>
        <w:rPr>
          <w:rStyle w:val="SectionNumber"/>
        </w:rPr>
        <w:t xml:space="preserve">8.4.3.1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w:t>
        </w:r>
      </w:hyperlink>
      <w:r>
        <w:t xml:space="preserve">)</w:t>
      </w:r>
      <w:r>
        <w:t xml:space="preserve">. Market bodies and participants have raised several potential benefits of an operating reserve product:</w:t>
      </w:r>
    </w:p>
    <w:p>
      <w:pPr>
        <w:numPr>
          <w:ilvl w:val="0"/>
          <w:numId w:val="1023"/>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3"/>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3"/>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6.4.2).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6.5, we incorporate these elements when quantifying balancing flexibility capabilities in NSW and SA to inform an assessment of the operational benefits of additional balancing products (Section 6.6).</w:t>
      </w:r>
    </w:p>
    <w:bookmarkEnd w:id="196"/>
    <w:bookmarkEnd w:id="197"/>
    <w:bookmarkEnd w:id="198"/>
    <w:bookmarkStart w:id="219" w:name="sec:reserves-modeloverview"/>
    <w:p>
      <w:pPr>
        <w:pStyle w:val="Heading2"/>
      </w:pPr>
      <w:r>
        <w:rPr>
          <w:rStyle w:val="SectionNumber"/>
        </w:rPr>
        <w:t xml:space="preserve">8.5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8" w:name="Xf980c0bdcde5d8aa38abe9a11e44b6653aa8649"/>
    <w:p>
      <w:pPr>
        <w:pStyle w:val="Heading3"/>
      </w:pPr>
      <w:r>
        <w:rPr>
          <w:rStyle w:val="SectionNumber"/>
        </w:rPr>
        <w:t xml:space="preserve">8.5.1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6.5.1.5).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6.5.1.2), and propose simple extensions for calculating available reserves and footroom provided by VRE (Section 6.5.1.3) and BESS (Section 6.5.1.4). The nomenclature used in these sections is described in Section 6.5.1.1.</w:t>
      </w:r>
    </w:p>
    <w:bookmarkStart w:id="204" w:name="sec:reserves-nomenclature"/>
    <w:p>
      <w:pPr>
        <w:pStyle w:val="Heading4"/>
      </w:pPr>
      <w:r>
        <w:rPr>
          <w:rStyle w:val="SectionNumber"/>
        </w:rPr>
        <w:t xml:space="preserve">8.5.1.1</w:t>
      </w:r>
      <w:r>
        <w:tab/>
      </w:r>
      <w:r>
        <w:t xml:space="preserve">Nomenclature</w:t>
      </w:r>
    </w:p>
    <w:bookmarkStart w:id="200" w:name="indices-and-sets"/>
    <w:p>
      <w:pPr>
        <w:pStyle w:val="Heading5"/>
      </w:pPr>
      <w:r>
        <w:rPr>
          <w:rStyle w:val="SectionNumber"/>
        </w:rPr>
        <w:t xml:space="preserve">8.5.1.1.1</w:t>
      </w:r>
      <w:r>
        <w:tab/>
      </w:r>
      <w:r>
        <w:t xml:space="preserve">Indices and sets</w:t>
      </w:r>
    </w:p>
    <w:bookmarkEnd w:id="200"/>
    <w:bookmarkStart w:id="201" w:name="time-varying-resource-parameters"/>
    <w:p>
      <w:pPr>
        <w:pStyle w:val="Heading5"/>
      </w:pPr>
      <w:r>
        <w:rPr>
          <w:rStyle w:val="SectionNumber"/>
        </w:rPr>
        <w:t xml:space="preserve">8.5.1.1.2</w:t>
      </w:r>
      <w:r>
        <w:tab/>
      </w:r>
      <w:r>
        <w:t xml:space="preserve">Time-varying resource parameters</w:t>
      </w:r>
    </w:p>
    <w:bookmarkEnd w:id="201"/>
    <w:bookmarkStart w:id="202" w:name="static-resource-parameters"/>
    <w:p>
      <w:pPr>
        <w:pStyle w:val="Heading5"/>
      </w:pPr>
      <w:r>
        <w:rPr>
          <w:rStyle w:val="SectionNumber"/>
        </w:rPr>
        <w:t xml:space="preserve">8.5.1.1.3</w:t>
      </w:r>
      <w:r>
        <w:tab/>
      </w:r>
      <w:r>
        <w:t xml:space="preserve">Static resource parameters</w:t>
      </w:r>
    </w:p>
    <w:bookmarkEnd w:id="202"/>
    <w:bookmarkStart w:id="203" w:name="computed-quantities"/>
    <w:p>
      <w:pPr>
        <w:pStyle w:val="Heading5"/>
      </w:pPr>
      <w:r>
        <w:rPr>
          <w:rStyle w:val="SectionNumber"/>
        </w:rPr>
        <w:t xml:space="preserve">8.5.1.1.4</w:t>
      </w:r>
      <w:r>
        <w:tab/>
      </w:r>
      <w:r>
        <w:t xml:space="preserve">Computed quantities</w:t>
      </w:r>
    </w:p>
    <w:bookmarkEnd w:id="203"/>
    <w:bookmarkEnd w:id="204"/>
    <w:bookmarkStart w:id="208" w:name="sec:reserves-conventionalcalc"/>
    <w:p>
      <w:pPr>
        <w:pStyle w:val="Heading4"/>
      </w:pPr>
      <w:r>
        <w:rPr>
          <w:rStyle w:val="SectionNumber"/>
        </w:rPr>
        <w:t xml:space="preserve">8.5.1.2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0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\end{cases}\qquad{(1)}$$</w:t>
      </w:r>
      <w:bookmarkEnd w:id="205"/>
    </w:p>
    <w:p>
      <w:pPr>
        <w:pStyle w:val="FirstParagraph"/>
      </w:pPr>
      <w:r>
        <w:t xml:space="preserve">The three conditions in Equation 1 reflect the following:</w:t>
      </w:r>
    </w:p>
    <w:p>
      <w:pPr>
        <w:numPr>
          <w:ilvl w:val="0"/>
          <w:numId w:val="1024"/>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4"/>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4"/>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2, which has two conditions that resemble the first two conditions of Equation 1:</w:t>
      </w:r>
    </w:p>
    <w:p>
      <w:pPr>
        <w:pStyle w:val="BodyText"/>
      </w:pPr>
      <w:bookmarkStart w:id="206" w:name="eq:convoffres"/>
      <w:r>
        <w:t xml:space="preserve">$$AR_{r_c,h,t}^{OFF} = \begin{cases}
          \mathrm{StartUp}_{r_c} \times h &amp; g_{r_c,t}=0, h \leq \mathrm{SUT}_{r_c,t} \\
          \min(\\ \hspace{0.2cm} \mathrm{MSL}_{r_c} + \mathrm{RampUp}_{r_c} \times (h-\mathrm{SUT}_{r_c,t}),\\ \hspace{0.2cm} \overline{g}_{r_c,t} - g_{r_c,t}\\) &amp; g_{r_c,t}=0,  h&gt;\mathrm{SUT}_{r_c,t}
       \end{cases}\qquad{(2)}$$</w:t>
      </w:r>
      <w:bookmarkEnd w:id="20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3):</w:t>
      </w:r>
    </w:p>
    <w:p>
      <w:pPr>
        <w:pStyle w:val="BodyText"/>
      </w:pPr>
      <w:bookmarkStart w:id="20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3</m:t>
              </m:r>
            </m:e>
          </m:d>
        </m:oMath>
      </m:oMathPara>
      <w:bookmarkEnd w:id="207"/>
    </w:p>
    <w:bookmarkEnd w:id="208"/>
    <w:bookmarkStart w:id="211" w:name="sec:reserves-vrecalc"/>
    <w:p>
      <w:pPr>
        <w:pStyle w:val="Heading4"/>
      </w:pPr>
      <w:r>
        <w:rPr>
          <w:rStyle w:val="SectionNumber"/>
        </w:rPr>
        <w:t xml:space="preserve">8.5.1.3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4</m:t>
              </m:r>
            </m:e>
          </m:d>
        </m:oMath>
      </m:oMathPara>
      <w:bookmarkEnd w:id="209"/>
    </w:p>
    <w:p>
      <w:pPr>
        <w:pStyle w:val="FirstParagraph"/>
      </w:pPr>
      <w:bookmarkStart w:id="21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5</m:t>
              </m:r>
            </m:e>
          </m:d>
        </m:oMath>
      </m:oMathPara>
      <w:bookmarkEnd w:id="21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11"/>
    <w:bookmarkStart w:id="214" w:name="sec:reserves-besscalc"/>
    <w:p>
      <w:pPr>
        <w:pStyle w:val="Heading4"/>
      </w:pPr>
      <w:r>
        <w:rPr>
          <w:rStyle w:val="SectionNumber"/>
        </w:rPr>
        <w:t xml:space="preserve">8.5.1.4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6) and available footroom (Equation 7):</w:t>
      </w:r>
    </w:p>
    <w:p>
      <w:pPr>
        <w:pStyle w:val="BodyText"/>
      </w:pPr>
      <w:bookmarkStart w:id="21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6</m:t>
              </m:r>
            </m:e>
          </m:d>
        </m:oMath>
      </m:oMathPara>
      <w:bookmarkEnd w:id="212"/>
    </w:p>
    <w:p>
      <w:pPr>
        <w:pStyle w:val="FirstParagraph"/>
      </w:pPr>
      <w:bookmarkStart w:id="21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7</m:t>
              </m:r>
            </m:e>
          </m:d>
        </m:oMath>
      </m:oMathPara>
      <w:bookmarkEnd w:id="213"/>
    </w:p>
    <w:bookmarkEnd w:id="214"/>
    <w:bookmarkStart w:id="217" w:name="sec:reserves-syscalc"/>
    <w:p>
      <w:pPr>
        <w:pStyle w:val="Heading4"/>
      </w:pPr>
      <w:r>
        <w:rPr>
          <w:rStyle w:val="SectionNumber"/>
        </w:rPr>
        <w:t xml:space="preserve">8.5.1.5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8 and Equation 9, respectively:</w:t>
      </w:r>
    </w:p>
    <w:p>
      <w:pPr>
        <w:pStyle w:val="BodyText"/>
      </w:pPr>
      <w:bookmarkStart w:id="21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8</m:t>
              </m:r>
            </m:e>
          </m:d>
        </m:oMath>
      </m:oMathPara>
      <w:bookmarkEnd w:id="215"/>
    </w:p>
    <w:p>
      <w:pPr>
        <w:pStyle w:val="FirstParagraph"/>
      </w:pPr>
      <w:bookmarkStart w:id="21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9</m:t>
              </m:r>
            </m:e>
          </m:d>
        </m:oMath>
      </m:oMathPara>
      <w:bookmarkEnd w:id="21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7"/>
    <w:bookmarkEnd w:id="218"/>
    <w:bookmarkEnd w:id="219"/>
    <w:bookmarkStart w:id="260" w:name="sec:reserves-casestudy"/>
    <w:p>
      <w:pPr>
        <w:pStyle w:val="Heading2"/>
      </w:pPr>
      <w:r>
        <w:rPr>
          <w:rStyle w:val="SectionNumber"/>
        </w:rPr>
        <w:t xml:space="preserve">8.6</w:t>
      </w:r>
      <w:r>
        <w:tab/>
      </w:r>
      <w:r>
        <w:t xml:space="preserve">Case Study: Two Regions in the National Electricity Market</w:t>
      </w:r>
    </w:p>
    <w:bookmarkStart w:id="230" w:name="scenarios"/>
    <w:p>
      <w:pPr>
        <w:pStyle w:val="Heading3"/>
      </w:pPr>
      <w:r>
        <w:rPr>
          <w:rStyle w:val="SectionNumber"/>
        </w:rPr>
        <w:t xml:space="preserve">8.6.1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220"/>
      </w:r>
      <w:r>
        <w:t xml:space="preserve">.</w:t>
      </w:r>
    </w:p>
    <w:bookmarkStart w:id="22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5"/>
              </w:numPr>
              <w:pStyle w:val="Compact"/>
              <w:jc w:val="center"/>
            </w:pPr>
            <w:r>
              <w:t xml:space="preserve">Modelled using historical demand and existing resources</w:t>
            </w:r>
          </w:p>
          <w:p>
            <w:pPr>
              <w:numPr>
                <w:ilvl w:val="1"/>
                <w:numId w:val="1026"/>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7"/>
              </w:numPr>
              <w:pStyle w:val="Compact"/>
              <w:jc w:val="center"/>
            </w:pPr>
            <w:r>
              <w:t xml:space="preserve">Based on existing policy settings at the time of 2020 ISP:</w:t>
            </w:r>
          </w:p>
          <w:p>
            <w:pPr>
              <w:numPr>
                <w:ilvl w:val="1"/>
                <w:numId w:val="1028"/>
              </w:numPr>
              <w:pStyle w:val="Compact"/>
              <w:jc w:val="center"/>
            </w:pPr>
            <w:r>
              <w:t xml:space="preserve">Moderate deployment of VRE and BESS</w:t>
            </w:r>
          </w:p>
          <w:p>
            <w:pPr>
              <w:numPr>
                <w:ilvl w:val="1"/>
                <w:numId w:val="1028"/>
              </w:numPr>
              <w:pStyle w:val="Compact"/>
              <w:jc w:val="center"/>
            </w:pPr>
            <w:r>
              <w:t xml:space="preserve">Distributed solar PV has moderate impact on operational demand</w:t>
            </w:r>
          </w:p>
          <w:p>
            <w:pPr>
              <w:numPr>
                <w:ilvl w:val="1"/>
                <w:numId w:val="1028"/>
              </w:numPr>
              <w:pStyle w:val="Compact"/>
              <w:jc w:val="center"/>
            </w:pPr>
            <w:r>
              <w:t xml:space="preserve">Thermal unit retirements in both states</w:t>
            </w:r>
          </w:p>
          <w:p>
            <w:pPr>
              <w:numPr>
                <w:ilvl w:val="1"/>
                <w:numId w:val="1028"/>
              </w:numPr>
              <w:pStyle w:val="Compact"/>
              <w:jc w:val="center"/>
            </w:pPr>
            <w:r>
              <w:t xml:space="preserve">Large hydropower capacity addition in NSW</w:t>
            </w:r>
          </w:p>
          <w:p>
            <w:pPr>
              <w:numPr>
                <w:ilvl w:val="1"/>
                <w:numId w:val="1028"/>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29"/>
              </w:numPr>
              <w:pStyle w:val="Compact"/>
              <w:jc w:val="center"/>
            </w:pPr>
            <w:r>
              <w:t xml:space="preserve">More aggressive transition:</w:t>
            </w:r>
          </w:p>
          <w:p>
            <w:pPr>
              <w:numPr>
                <w:ilvl w:val="1"/>
                <w:numId w:val="1030"/>
              </w:numPr>
              <w:pStyle w:val="Compact"/>
              <w:jc w:val="center"/>
            </w:pPr>
            <w:r>
              <w:t xml:space="preserve">Large deployments of VRE and BESS</w:t>
            </w:r>
          </w:p>
          <w:p>
            <w:pPr>
              <w:numPr>
                <w:ilvl w:val="1"/>
                <w:numId w:val="1030"/>
              </w:numPr>
              <w:pStyle w:val="Compact"/>
              <w:jc w:val="center"/>
            </w:pPr>
            <w:r>
              <w:t xml:space="preserve">Distributed solar PV has greater impact on operational demand</w:t>
            </w:r>
          </w:p>
          <w:p>
            <w:pPr>
              <w:numPr>
                <w:ilvl w:val="1"/>
                <w:numId w:val="1030"/>
              </w:numPr>
              <w:pStyle w:val="Compact"/>
              <w:jc w:val="center"/>
            </w:pPr>
            <w:r>
              <w:t xml:space="preserve">Further thermal unit retirements in NSW</w:t>
            </w:r>
          </w:p>
          <w:p>
            <w:pPr>
              <w:numPr>
                <w:ilvl w:val="1"/>
                <w:numId w:val="1030"/>
              </w:numPr>
              <w:pStyle w:val="Compact"/>
              <w:jc w:val="center"/>
            </w:pPr>
            <w:r>
              <w:t xml:space="preserve">Large hydropower capacity addition in NSW</w:t>
            </w:r>
          </w:p>
          <w:p>
            <w:pPr>
              <w:numPr>
                <w:ilvl w:val="1"/>
                <w:numId w:val="1030"/>
              </w:numPr>
              <w:pStyle w:val="Compact"/>
              <w:jc w:val="center"/>
            </w:pPr>
            <w:r>
              <w:t xml:space="preserve">Fewer synchronous units must run for system strength in SA</w:t>
            </w:r>
          </w:p>
        </w:tc>
      </w:tr>
    </w:tbl>
    <w:bookmarkEnd w:id="221"/>
    <w:p>
      <w:pPr>
        <w:pStyle w:val="FirstParagraph"/>
      </w:pPr>
      <w:r>
        <w:t xml:space="preserve">Modelling SA and NSW across these three scenarios enables four sensitivities to be explored:</w:t>
      </w:r>
    </w:p>
    <w:p>
      <w:pPr>
        <w:numPr>
          <w:ilvl w:val="0"/>
          <w:numId w:val="1031"/>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1"/>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15.</w:t>
      </w:r>
    </w:p>
    <w:p>
      <w:pPr>
        <w:numPr>
          <w:ilvl w:val="0"/>
          <w:numId w:val="1031"/>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1"/>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25" w:name="fig:nsw_capacities"/>
            <w:r>
              <w:drawing>
                <wp:inline>
                  <wp:extent cx="2667000" cy="1352397"/>
                  <wp:effectExtent b="0" l="0" r="0" t="0"/>
                  <wp:docPr descr="a" title="" id="223" name="Picture"/>
                  <a:graphic>
                    <a:graphicData uri="http://schemas.openxmlformats.org/drawingml/2006/picture">
                      <pic:pic>
                        <pic:nvPicPr>
                          <pic:cNvPr descr="source/figures/nsw_capacities.png" id="224" name="Picture"/>
                          <pic:cNvPicPr>
                            <a:picLocks noChangeArrowheads="1" noChangeAspect="1"/>
                          </pic:cNvPicPr>
                        </pic:nvPicPr>
                        <pic:blipFill>
                          <a:blip r:embed="rId222"/>
                          <a:stretch>
                            <a:fillRect/>
                          </a:stretch>
                        </pic:blipFill>
                        <pic:spPr bwMode="auto">
                          <a:xfrm>
                            <a:off x="0" y="0"/>
                            <a:ext cx="2667000" cy="1352397"/>
                          </a:xfrm>
                          <a:prstGeom prst="rect">
                            <a:avLst/>
                          </a:prstGeom>
                          <a:noFill/>
                          <a:ln w="9525">
                            <a:noFill/>
                            <a:headEnd/>
                            <a:tailEnd/>
                          </a:ln>
                        </pic:spPr>
                      </pic:pic>
                    </a:graphicData>
                  </a:graphic>
                </wp:inline>
              </w:drawing>
            </w:r>
            <w:bookmarkEnd w:id="225"/>
          </w:p>
        </w:tc>
        <w:tc>
          <w:tcPr/>
          <w:p>
            <w:pPr>
              <w:jc w:val="center"/>
            </w:pPr>
            <w:bookmarkStart w:id="229" w:name="fig:sa_capacities"/>
            <w:r>
              <w:drawing>
                <wp:inline>
                  <wp:extent cx="2667000" cy="1352397"/>
                  <wp:effectExtent b="0" l="0" r="0" t="0"/>
                  <wp:docPr descr="b" title="" id="227" name="Picture"/>
                  <a:graphic>
                    <a:graphicData uri="http://schemas.openxmlformats.org/drawingml/2006/picture">
                      <pic:pic>
                        <pic:nvPicPr>
                          <pic:cNvPr descr="source/figures/sa_capacities.png" id="228" name="Picture"/>
                          <pic:cNvPicPr>
                            <a:picLocks noChangeArrowheads="1" noChangeAspect="1"/>
                          </pic:cNvPicPr>
                        </pic:nvPicPr>
                        <pic:blipFill>
                          <a:blip r:embed="rId226"/>
                          <a:stretch>
                            <a:fillRect/>
                          </a:stretch>
                        </pic:blipFill>
                        <pic:spPr bwMode="auto">
                          <a:xfrm>
                            <a:off x="0" y="0"/>
                            <a:ext cx="2667000" cy="1352397"/>
                          </a:xfrm>
                          <a:prstGeom prst="rect">
                            <a:avLst/>
                          </a:prstGeom>
                          <a:noFill/>
                          <a:ln w="9525">
                            <a:noFill/>
                            <a:headEnd/>
                            <a:tailEnd/>
                          </a:ln>
                        </pic:spPr>
                      </pic:pic>
                    </a:graphicData>
                  </a:graphic>
                </wp:inline>
              </w:drawing>
            </w:r>
            <w:bookmarkEnd w:id="229"/>
          </w:p>
        </w:tc>
      </w:tr>
    </w:tbl>
    <w:p>
      <w:pPr>
        <w:pStyle w:val="ImageCaption"/>
      </w:pPr>
      <w:r>
        <w:t xml:space="preserve">Figure 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30"/>
    <w:bookmarkStart w:id="235" w:name="sec:reserves-method"/>
    <w:p>
      <w:pPr>
        <w:pStyle w:val="Heading3"/>
      </w:pPr>
      <w:r>
        <w:rPr>
          <w:rStyle w:val="SectionNumber"/>
        </w:rPr>
        <w:t xml:space="preserve">8.6.2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3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6.5.1.2).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6.5. A process flow diagram of the study methodology is shown in Figure 16.</w:t>
      </w:r>
    </w:p>
    <w:p>
      <w:pPr>
        <w:pStyle w:val="BodyText"/>
      </w:pPr>
      <w:r>
        <w:t xml:space="preserve">In Appendix A, we outline our sources for key input data and assumptions (top row of Figure 16)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33" name="Picture"/>
            <a:graphic>
              <a:graphicData uri="http://schemas.openxmlformats.org/drawingml/2006/picture">
                <pic:pic>
                  <pic:nvPicPr>
                    <pic:cNvPr descr="source/figures/modelling_diagram.png" id="234" name="Picture"/>
                    <pic:cNvPicPr>
                      <a:picLocks noChangeArrowheads="1" noChangeAspect="1"/>
                    </pic:cNvPicPr>
                  </pic:nvPicPr>
                  <pic:blipFill>
                    <a:blip r:embed="rId23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16: Process flow for modelling available reserves and footroom for each scenario in this case study.</w:t>
      </w:r>
    </w:p>
    <w:bookmarkEnd w:id="235"/>
    <w:bookmarkStart w:id="238" w:name="limitations-1"/>
    <w:p>
      <w:pPr>
        <w:pStyle w:val="Heading3"/>
      </w:pPr>
      <w:r>
        <w:rPr>
          <w:rStyle w:val="SectionNumber"/>
        </w:rPr>
        <w:t xml:space="preserve">8.6.3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3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2"/>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2"/>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2"/>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8"/>
    <w:bookmarkStart w:id="257" w:name="sec:reserves-results"/>
    <w:p>
      <w:pPr>
        <w:pStyle w:val="Heading3"/>
      </w:pPr>
      <w:r>
        <w:rPr>
          <w:rStyle w:val="SectionNumber"/>
        </w:rPr>
        <w:t xml:space="preserve">8.6.4</w:t>
      </w:r>
      <w:r>
        <w:tab/>
      </w:r>
      <w:r>
        <w:t xml:space="preserve">Results and discussion</w:t>
      </w:r>
    </w:p>
    <w:bookmarkStart w:id="240" w:name="synthetic-daily-profiles"/>
    <w:p>
      <w:pPr>
        <w:pStyle w:val="Heading4"/>
      </w:pPr>
      <w:r>
        <w:rPr>
          <w:rStyle w:val="SectionNumber"/>
        </w:rPr>
        <w:t xml:space="preserve">8.6.4.1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3"/>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3"/>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40"/>
    <w:bookmarkStart w:id="247" w:name="sec:reserves-reserveSDPs"/>
    <w:p>
      <w:pPr>
        <w:pStyle w:val="Heading4"/>
      </w:pPr>
      <w:r>
        <w:rPr>
          <w:rStyle w:val="SectionNumber"/>
        </w:rPr>
        <w:t xml:space="preserve">8.6.4.2</w:t>
      </w:r>
      <w:r>
        <w:tab/>
      </w:r>
      <w:r>
        <w:t xml:space="preserve">Available reserve synthetic days</w:t>
      </w:r>
    </w:p>
    <w:p>
      <w:pPr>
        <w:pStyle w:val="FirstParagraph"/>
      </w:pPr>
      <w:r>
        <w:t xml:space="preserve">Mean and bottom 1% available reserve SDPs were generated for the NSW scenarios and for the SA scenarios (Figures 17, 18). The mean SDPs across scenarios suggest that, on average, NSW has more than 2 GW and SA more than 600 MW of reserves available within 5+ minutes. These levels of reserves:</w:t>
      </w:r>
    </w:p>
    <w:p>
      <w:pPr>
        <w:numPr>
          <w:ilvl w:val="0"/>
          <w:numId w:val="1034"/>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4"/>
        </w:numPr>
        <w:pStyle w:val="Compact"/>
      </w:pPr>
      <w:r>
        <w:t xml:space="preserve">Exceed the highest N-1 contingency in 2020 (i.e. highest LOR2 trigger level declared in the last run of Pre-Dispatch PASA prior to delivery — see Section 6.4.2) by approximately 225% in NSW and 170% in SA</w:t>
      </w:r>
      <w:r>
        <w:t xml:space="preserve"> </w:t>
      </w:r>
      <w:r>
        <w:t xml:space="preserve">(</w:t>
      </w:r>
      <w:hyperlink w:anchor="ref-prakashNEMSEER2023">
        <w:r>
          <w:rPr>
            <w:rStyle w:val="Hyperlink"/>
          </w:rPr>
          <w:t xml:space="preserve">Prakash, 2023</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42" name="Picture"/>
            <a:graphic>
              <a:graphicData uri="http://schemas.openxmlformats.org/drawingml/2006/picture">
                <pic:pic>
                  <pic:nvPicPr>
                    <pic:cNvPr descr="./source/figures/NSW_reserves_all_profiles_by_di.png" id="243" name="Picture"/>
                    <pic:cNvPicPr>
                      <a:picLocks noChangeArrowheads="1" noChangeAspect="1"/>
                    </pic:cNvPicPr>
                  </pic:nvPicPr>
                  <pic:blipFill>
                    <a:blip r:embed="rId24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17: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45" name="Picture"/>
            <a:graphic>
              <a:graphicData uri="http://schemas.openxmlformats.org/drawingml/2006/picture">
                <pic:pic>
                  <pic:nvPicPr>
                    <pic:cNvPr descr="./source/figures/SA_reserves_all_profiles_by_di.png" id="246" name="Picture"/>
                    <pic:cNvPicPr>
                      <a:picLocks noChangeArrowheads="1" noChangeAspect="1"/>
                    </pic:cNvPicPr>
                  </pic:nvPicPr>
                  <pic:blipFill>
                    <a:blip r:embed="rId24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5"/>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5"/>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14).</w:t>
      </w:r>
    </w:p>
    <w:bookmarkEnd w:id="247"/>
    <w:bookmarkStart w:id="254" w:name="sec:reserves-footroomSDPs"/>
    <w:p>
      <w:pPr>
        <w:pStyle w:val="Heading4"/>
      </w:pPr>
      <w:r>
        <w:rPr>
          <w:rStyle w:val="SectionNumber"/>
        </w:rPr>
        <w:t xml:space="preserve">8.6.4.3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19, 20 show mean and bottom 1% SDPs across NSW scenarios for firm footroom and total footroom, respectively. From the bottom 1% SDPs in Figure 19, it is clear that firm system footroom can become very low in NSW in 2025 as remaining baseload conventional generators are driven to operate closer to their MSLs. However, such concerns could be alleviated if VRE provide footroom (Figure 20).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9" name="Picture"/>
            <a:graphic>
              <a:graphicData uri="http://schemas.openxmlformats.org/drawingml/2006/picture">
                <pic:pic>
                  <pic:nvPicPr>
                    <pic:cNvPr descr="./source/figures/NSW_firmfootroom_all_profiles_by_di.png" id="250" name="Picture"/>
                    <pic:cNvPicPr>
                      <a:picLocks noChangeArrowheads="1" noChangeAspect="1"/>
                    </pic:cNvPicPr>
                  </pic:nvPicPr>
                  <pic:blipFill>
                    <a:blip r:embed="rId24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52" name="Picture"/>
            <a:graphic>
              <a:graphicData uri="http://schemas.openxmlformats.org/drawingml/2006/picture">
                <pic:pic>
                  <pic:nvPicPr>
                    <pic:cNvPr descr="./source/figures/NSW_footroom_all_profiles_by_di.png" id="253" name="Picture"/>
                    <pic:cNvPicPr>
                      <a:picLocks noChangeArrowheads="1" noChangeAspect="1"/>
                    </pic:cNvPicPr>
                  </pic:nvPicPr>
                  <pic:blipFill>
                    <a:blip r:embed="rId25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54"/>
    <w:bookmarkStart w:id="256" w:name="sec:reserves-stelr"/>
    <w:p>
      <w:pPr>
        <w:pStyle w:val="Heading4"/>
      </w:pPr>
      <w:r>
        <w:rPr>
          <w:rStyle w:val="SectionNumber"/>
        </w:rPr>
        <w:t xml:space="preserve">8.6.4.4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2020o</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5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56"/>
    <w:bookmarkEnd w:id="257"/>
    <w:bookmarkStart w:id="259" w:name="the-role-of-balancing-products"/>
    <w:p>
      <w:pPr>
        <w:pStyle w:val="Heading3"/>
      </w:pPr>
      <w:r>
        <w:rPr>
          <w:rStyle w:val="SectionNumber"/>
        </w:rPr>
        <w:t xml:space="preserve">8.6.5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6"/>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6"/>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6.6.4.4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6.6.4.3).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9"/>
    <w:bookmarkEnd w:id="260"/>
    <w:bookmarkStart w:id="261" w:name="sec:reserves-conclusion"/>
    <w:p>
      <w:pPr>
        <w:pStyle w:val="Heading2"/>
      </w:pPr>
      <w:r>
        <w:rPr>
          <w:rStyle w:val="SectionNumber"/>
        </w:rPr>
        <w:t xml:space="preserve">8.7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6.6),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61"/>
    <w:bookmarkEnd w:id="262"/>
    <w:bookmarkStart w:id="265" w:name="sec:conclusion"/>
    <w:p>
      <w:pPr>
        <w:pStyle w:val="Heading1"/>
      </w:pPr>
      <w:r>
        <w:rPr>
          <w:rStyle w:val="SectionNumber"/>
        </w:rPr>
        <w:t xml:space="preserve">9</w:t>
      </w:r>
      <w:r>
        <w:tab/>
      </w:r>
      <w:r>
        <w:t xml:space="preserve">Conclusion</w:t>
      </w:r>
    </w:p>
    <w:bookmarkStart w:id="263"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263"/>
    <w:bookmarkStart w:id="264"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w:t>
      </w:r>
    </w:p>
    <w:bookmarkEnd w:id="264"/>
    <w:bookmarkEnd w:id="265"/>
    <w:bookmarkStart w:id="282" w:name="X79d4964e2d76d0384256ac8f0c0adc20d1650ff"/>
    <w:p>
      <w:pPr>
        <w:pStyle w:val="Heading1"/>
      </w:pPr>
      <w:r>
        <w:rPr>
          <w:rStyle w:val="SectionNumber"/>
        </w:rPr>
        <w:t xml:space="preserve">10</w:t>
      </w:r>
      <w:r>
        <w:tab/>
      </w:r>
      <w:r>
        <w:t xml:space="preserve">Data and assumptions used in market simulation</w:t>
      </w:r>
    </w:p>
    <w:bookmarkStart w:id="270"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266"/>
      </w:r>
      <w:r>
        <w:t xml:space="preserve"> </w:t>
      </w:r>
      <w:r>
        <w:t xml:space="preserve">in 2020, and the upper ramp rate was calculated using resources’ assumed maximum ramp rates in AEMO’s 2020 Inputs and Assumptions workbook (for an example of a comparison, see Figure 21)</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268" name="Picture"/>
            <a:graphic>
              <a:graphicData uri="http://schemas.openxmlformats.org/drawingml/2006/picture">
                <pic:pic>
                  <pic:nvPicPr>
                    <pic:cNvPr descr="source/figures/coal_market_upper_ramps.png" id="269" name="Picture"/>
                    <pic:cNvPicPr>
                      <a:picLocks noChangeArrowheads="1" noChangeAspect="1"/>
                    </pic:cNvPicPr>
                  </pic:nvPicPr>
                  <pic:blipFill>
                    <a:blip r:embed="rId267"/>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21: Ramp rates observed (red) and used in dispatch by AEMO (blue) for a coal-fired unit in NSW in 2020. The green line denotes the ramp rate assumed by AEMO in its 2020 Inputs and Assumptions workbook and the 2020 ISP.</w:t>
      </w:r>
    </w:p>
    <w:bookmarkEnd w:id="270"/>
    <w:bookmarkStart w:id="271"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2021q</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271"/>
    <w:bookmarkStart w:id="272"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w:t>
      </w:r>
    </w:p>
    <w:bookmarkEnd w:id="272"/>
    <w:bookmarkStart w:id="273"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w:t>
      </w:r>
    </w:p>
    <w:bookmarkEnd w:id="273"/>
    <w:bookmarkStart w:id="274"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274"/>
    <w:bookmarkStart w:id="275"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2020p</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275"/>
    <w:bookmarkStart w:id="281"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276"/>
      </w:r>
      <w:r>
        <w:t xml:space="preserve">:</w:t>
      </w:r>
    </w:p>
    <w:p>
      <w:pPr>
        <w:numPr>
          <w:ilvl w:val="0"/>
          <w:numId w:val="1037"/>
        </w:numPr>
        <w:pStyle w:val="Compact"/>
      </w:pPr>
      <w:r>
        <w:t xml:space="preserve">For wind and solar PV generators, the entire available forecasted energy was offered at the market floor price to ensure preferential dispatch of VRE where possible.</w:t>
      </w:r>
    </w:p>
    <w:p>
      <w:pPr>
        <w:numPr>
          <w:ilvl w:val="0"/>
          <w:numId w:val="1037"/>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The third band was priced at a premium relative to the resource’s SRMC and the fourth band was offered at the market cap price.</w:t>
      </w:r>
    </w:p>
    <w:p>
      <w:pPr>
        <w:numPr>
          <w:ilvl w:val="0"/>
          <w:numId w:val="1037"/>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37"/>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277" w:name="tbl:resourceoffers"/>
      <w:bookmarkEnd w:id="277"/>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280"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278" w:name="tbl:nswcalibration"/>
      <w:bookmarkEnd w:id="278"/>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279" w:name="tbl:sacalibration"/>
      <w:bookmarkEnd w:id="279"/>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280"/>
    <w:bookmarkEnd w:id="281"/>
    <w:bookmarkEnd w:id="282"/>
    <w:bookmarkStart w:id="283" w:name="some-more-extra-stuff"/>
    <w:p>
      <w:pPr>
        <w:pStyle w:val="Heading1"/>
      </w:pPr>
      <w:r>
        <w:rPr>
          <w:rStyle w:val="SectionNumber"/>
        </w:rPr>
        <w:t xml:space="preserve">11</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283"/>
    <w:bookmarkStart w:id="284" w:name="some-more-extra-stuff-1"/>
    <w:p>
      <w:pPr>
        <w:pStyle w:val="Heading1"/>
      </w:pPr>
      <w:r>
        <w:rPr>
          <w:rStyle w:val="SectionNumber"/>
        </w:rPr>
        <w:t xml:space="preserve">12</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284"/>
    <w:bookmarkStart w:id="708" w:name="references"/>
    <w:p>
      <w:pPr>
        <w:pStyle w:val="Heading1"/>
      </w:pPr>
      <w:r>
        <w:t xml:space="preserve">References</w:t>
      </w:r>
    </w:p>
    <w:bookmarkStart w:id="707" w:name="refs"/>
    <w:bookmarkStart w:id="285"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285"/>
    <w:bookmarkStart w:id="287" w:name="X5a70db932ff4717cfbc30f6fe285191ec112a17"/>
    <w:p>
      <w:pPr>
        <w:pStyle w:val="Bibliography"/>
      </w:pPr>
      <w:r>
        <w:t xml:space="preserve">Abbasy, A., 2012.</w:t>
      </w:r>
      <w:r>
        <w:t xml:space="preserve"> </w:t>
      </w:r>
      <w:hyperlink r:id="rId286">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287"/>
    <w:bookmarkStart w:id="289"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288">
        <w:r>
          <w:rPr>
            <w:rStyle w:val="Hyperlink"/>
          </w:rPr>
          <w:t xml:space="preserve">https://doi.org/10.2139/ssrn.3302569</w:t>
        </w:r>
      </w:hyperlink>
    </w:p>
    <w:bookmarkEnd w:id="289"/>
    <w:bookmarkStart w:id="291" w:name="ref-akramEnergyStorageShortTerm2020"/>
    <w:p>
      <w:pPr>
        <w:pStyle w:val="Bibliography"/>
      </w:pPr>
      <w:r>
        <w:t xml:space="preserve">Akram, U., Mithulananthan, N., Shah, R., Basit, S.A., 2020.</w:t>
      </w:r>
      <w:r>
        <w:t xml:space="preserve"> </w:t>
      </w:r>
      <w:hyperlink r:id="rId290">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291"/>
    <w:bookmarkStart w:id="293" w:name="X77edcbed99f6f778ba79668b9dd9185179dad4a"/>
    <w:p>
      <w:pPr>
        <w:pStyle w:val="Bibliography"/>
      </w:pPr>
      <w:r>
        <w:t xml:space="preserve">ASX Energy, 2021.</w:t>
      </w:r>
      <w:r>
        <w:t xml:space="preserve"> </w:t>
      </w:r>
      <w:hyperlink r:id="rId292">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293"/>
    <w:bookmarkStart w:id="295" w:name="ref-aureconLargeScaleBatteryStorage2019"/>
    <w:p>
      <w:pPr>
        <w:pStyle w:val="Bibliography"/>
      </w:pPr>
      <w:r>
        <w:t xml:space="preserve">Aurecon, 2019.</w:t>
      </w:r>
      <w:r>
        <w:t xml:space="preserve"> </w:t>
      </w:r>
      <w:hyperlink r:id="rId294">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295"/>
    <w:bookmarkStart w:id="297" w:name="Xd02ea3f7bd4fee6de3a6c1d76c7696f271a845d"/>
    <w:p>
      <w:pPr>
        <w:pStyle w:val="Bibliography"/>
      </w:pPr>
      <w:r>
        <w:t xml:space="preserve">Aurecon Australasia, 2020.</w:t>
      </w:r>
      <w:r>
        <w:t xml:space="preserve"> </w:t>
      </w:r>
      <w:hyperlink r:id="rId296">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297"/>
    <w:bookmarkStart w:id="299" w:name="X283bd1f9c04cb560ec04fb7242924b44581eae3"/>
    <w:p>
      <w:pPr>
        <w:pStyle w:val="Bibliography"/>
      </w:pPr>
      <w:r>
        <w:t xml:space="preserve">Australian Energy Market Commission, n.d.b. Electricity supply chain [WWW Document]. URL</w:t>
      </w:r>
      <w:r>
        <w:t xml:space="preserve"> </w:t>
      </w:r>
      <w:hyperlink r:id="rId298">
        <w:r>
          <w:rPr>
            <w:rStyle w:val="Hyperlink"/>
          </w:rPr>
          <w:t xml:space="preserve">http://www.aemc.gov.au/energy-system/electricity/electricity-system/electricity-supply-chain</w:t>
        </w:r>
      </w:hyperlink>
      <w:r>
        <w:t xml:space="preserve"> </w:t>
      </w:r>
      <w:r>
        <w:t xml:space="preserve">(accessed 5.20.2022).</w:t>
      </w:r>
    </w:p>
    <w:bookmarkEnd w:id="299"/>
    <w:bookmarkStart w:id="301"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00">
        <w:r>
          <w:rPr>
            <w:rStyle w:val="Hyperlink"/>
          </w:rPr>
          <w:t xml:space="preserve">https://www.aemc.gov.au/energy-system/electricity/electricity-system/NEM</w:t>
        </w:r>
      </w:hyperlink>
      <w:r>
        <w:t xml:space="preserve"> </w:t>
      </w:r>
      <w:r>
        <w:t xml:space="preserve">(accessed 3.23.2021).</w:t>
      </w:r>
    </w:p>
    <w:bookmarkEnd w:id="301"/>
    <w:bookmarkStart w:id="303" w:name="X8acf9a26c7b13f75647e96408c7da2f2a289169"/>
    <w:p>
      <w:pPr>
        <w:pStyle w:val="Bibliography"/>
      </w:pPr>
      <w:r>
        <w:t xml:space="preserve">Australian Energy Market Commission, 2022.</w:t>
      </w:r>
      <w:r>
        <w:t xml:space="preserve"> </w:t>
      </w:r>
      <w:hyperlink r:id="rId302">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03"/>
    <w:bookmarkStart w:id="304"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04"/>
    <w:bookmarkStart w:id="305"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05"/>
    <w:bookmarkStart w:id="307" w:name="X4e15fbfc9c73a2296d46b736a9c7d1a5654655e"/>
    <w:p>
      <w:pPr>
        <w:pStyle w:val="Bibliography"/>
      </w:pPr>
      <w:r>
        <w:t xml:space="preserve">Australian Energy Market Commission, 2021c.</w:t>
      </w:r>
      <w:r>
        <w:t xml:space="preserve"> </w:t>
      </w:r>
      <w:hyperlink r:id="rId306">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307"/>
    <w:bookmarkStart w:id="309"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308">
        <w:r>
          <w:rPr>
            <w:rStyle w:val="Hyperlink"/>
          </w:rPr>
          <w:t xml:space="preserve">https://www.aemc.gov.au/news-centre/data-portal/annual-market-performance-review/2020</w:t>
        </w:r>
      </w:hyperlink>
      <w:r>
        <w:t xml:space="preserve"> </w:t>
      </w:r>
      <w:r>
        <w:t xml:space="preserve">(accessed 10.27.2021).</w:t>
      </w:r>
    </w:p>
    <w:bookmarkEnd w:id="309"/>
    <w:bookmarkStart w:id="310" w:name="X55ac5d59022fb8fc127e5e4f8e1b2f3c3feff8c"/>
    <w:p>
      <w:pPr>
        <w:pStyle w:val="Bibliography"/>
      </w:pPr>
      <w:r>
        <w:t xml:space="preserve">Australian Energy Market Commission, 2020c. Frequency control rule changes.</w:t>
      </w:r>
    </w:p>
    <w:bookmarkEnd w:id="310"/>
    <w:bookmarkStart w:id="311"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311"/>
    <w:bookmarkStart w:id="313" w:name="Xd4142d84741b5aa209fba18468ec215bc2183cf"/>
    <w:p>
      <w:pPr>
        <w:pStyle w:val="Bibliography"/>
      </w:pPr>
      <w:r>
        <w:t xml:space="preserve">Australian Energy Market Commission, 2020d.</w:t>
      </w:r>
      <w:r>
        <w:t xml:space="preserve"> </w:t>
      </w:r>
      <w:hyperlink r:id="rId312">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13"/>
    <w:bookmarkStart w:id="314"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314"/>
    <w:bookmarkStart w:id="315"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315"/>
    <w:bookmarkStart w:id="317" w:name="Xb3436a2eee6cc81ec2eed9434eec7793f348374"/>
    <w:p>
      <w:pPr>
        <w:pStyle w:val="Bibliography"/>
      </w:pPr>
      <w:r>
        <w:t xml:space="preserve">Australian Energy Market Commission, 2017.</w:t>
      </w:r>
      <w:r>
        <w:t xml:space="preserve"> </w:t>
      </w:r>
      <w:hyperlink r:id="rId316">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317"/>
    <w:bookmarkStart w:id="319" w:name="X122c867e6dde1f00e4486b24c752821f4d73d2a"/>
    <w:p>
      <w:pPr>
        <w:pStyle w:val="Bibliography"/>
      </w:pPr>
      <w:r>
        <w:t xml:space="preserve">Australian Energy Market Commission, 2016.</w:t>
      </w:r>
      <w:r>
        <w:t xml:space="preserve"> </w:t>
      </w:r>
      <w:hyperlink r:id="rId318">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319"/>
    <w:bookmarkStart w:id="321" w:name="Xe8c300eeae062e2ed8ee4727d274c4396c5dbff"/>
    <w:p>
      <w:pPr>
        <w:pStyle w:val="Bibliography"/>
      </w:pPr>
      <w:r>
        <w:t xml:space="preserve">Australian Energy Market Commission, 2015.</w:t>
      </w:r>
      <w:r>
        <w:t xml:space="preserve"> </w:t>
      </w:r>
      <w:hyperlink r:id="rId320">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321"/>
    <w:bookmarkStart w:id="323" w:name="X69b6505f7439c279a132e5425c5d610e080361d"/>
    <w:p>
      <w:pPr>
        <w:pStyle w:val="Bibliography"/>
      </w:pPr>
      <w:r>
        <w:t xml:space="preserve">Australian Energy Market Commission Reliability Panel, 2022.</w:t>
      </w:r>
      <w:r>
        <w:t xml:space="preserve"> </w:t>
      </w:r>
      <w:hyperlink r:id="rId322">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323"/>
    <w:bookmarkStart w:id="325" w:name="Xfeb2de1ac1725393bea77ea1338cf7492788c4f"/>
    <w:p>
      <w:pPr>
        <w:pStyle w:val="Bibliography"/>
      </w:pPr>
      <w:r>
        <w:t xml:space="preserve">Australian Energy Market Commission Reliability Panel, 2020.</w:t>
      </w:r>
      <w:r>
        <w:t xml:space="preserve"> </w:t>
      </w:r>
      <w:hyperlink r:id="rId324">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325"/>
    <w:bookmarkStart w:id="326"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326"/>
    <w:bookmarkStart w:id="328" w:name="Xc217b8abd9a98bd90a8ef2d1cb9dc2560b3200f"/>
    <w:p>
      <w:pPr>
        <w:pStyle w:val="Bibliography"/>
      </w:pPr>
      <w:r>
        <w:t xml:space="preserve">Australian Energy Market Operator, n.d. Pre dispatch [WWW Document]. URL</w:t>
      </w:r>
      <w:r>
        <w:t xml:space="preserve"> </w:t>
      </w:r>
      <w:hyperlink r:id="rId327">
        <w:r>
          <w:rPr>
            <w:rStyle w:val="Hyperlink"/>
          </w:rPr>
          <w:t xml:space="preserve">https://aemo.com.au/energy-systems/electricity/national-electricity-market-nem/data-nem/market-management-system-mms-data/pre-dispatch</w:t>
        </w:r>
      </w:hyperlink>
      <w:r>
        <w:t xml:space="preserve"> </w:t>
      </w:r>
      <w:r>
        <w:t xml:space="preserve">(accessed 5.24.2022).</w:t>
      </w:r>
    </w:p>
    <w:bookmarkEnd w:id="328"/>
    <w:bookmarkStart w:id="330" w:name="Xd5517a5b21f55ef4d6be4f7cb132ac0de4944a7"/>
    <w:p>
      <w:pPr>
        <w:pStyle w:val="Bibliography"/>
      </w:pPr>
      <w:r>
        <w:t xml:space="preserve">Australian Energy Market Operator, 2023. Industry overview [WWW Document]. URL</w:t>
      </w:r>
      <w:r>
        <w:t xml:space="preserve"> </w:t>
      </w:r>
      <w:hyperlink r:id="rId329">
        <w:r>
          <w:rPr>
            <w:rStyle w:val="Hyperlink"/>
          </w:rPr>
          <w:t xml:space="preserve">https://aemo.com.au/learn/energy-explained/energy-101/industry-overview</w:t>
        </w:r>
      </w:hyperlink>
      <w:r>
        <w:t xml:space="preserve"> </w:t>
      </w:r>
      <w:r>
        <w:t xml:space="preserve">(accessed 10.25.2023).</w:t>
      </w:r>
    </w:p>
    <w:bookmarkEnd w:id="330"/>
    <w:bookmarkStart w:id="332" w:name="X9f14554c9fbab180f0895f001a9e72329973dfa"/>
    <w:p>
      <w:pPr>
        <w:pStyle w:val="Bibliography"/>
      </w:pPr>
      <w:r>
        <w:t xml:space="preserve">Australian Energy Market Operator, 2022c.</w:t>
      </w:r>
      <w:r>
        <w:t xml:space="preserve"> </w:t>
      </w:r>
      <w:hyperlink r:id="rId331">
        <w:r>
          <w:rPr>
            <w:rStyle w:val="Hyperlink"/>
          </w:rPr>
          <w:t xml:space="preserve">2022</w:t>
        </w:r>
        <w:r>
          <w:rPr>
            <w:rStyle w:val="Hyperlink"/>
          </w:rPr>
          <w:t xml:space="preserve"> </w:t>
        </w:r>
        <w:r>
          <w:rPr>
            <w:rStyle w:val="Hyperlink"/>
          </w:rPr>
          <w:t xml:space="preserve">Integrated System Plan</w:t>
        </w:r>
      </w:hyperlink>
      <w:r>
        <w:t xml:space="preserve">.</w:t>
      </w:r>
    </w:p>
    <w:bookmarkEnd w:id="332"/>
    <w:bookmarkStart w:id="334"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333">
        <w:r>
          <w:rPr>
            <w:rStyle w:val="Hyperlink"/>
          </w:rPr>
          <w:t xml:space="preserve">https://aemo.com.au/initiatives/major-programs/past-major-programs/five-minute-settlement/5ms-program-management/5ms-commencement</w:t>
        </w:r>
      </w:hyperlink>
      <w:r>
        <w:t xml:space="preserve"> </w:t>
      </w:r>
      <w:r>
        <w:t xml:space="preserve">(accessed 5.23.2022).</w:t>
      </w:r>
    </w:p>
    <w:bookmarkEnd w:id="334"/>
    <w:bookmarkStart w:id="336" w:name="X89e1d13a06c4fc4983081ee3d5bd31282b28c9b"/>
    <w:p>
      <w:pPr>
        <w:pStyle w:val="Bibliography"/>
      </w:pPr>
      <w:r>
        <w:t xml:space="preserve">Australian Energy Market Operator, 2022a. Generation information [WWW Document]. URL</w:t>
      </w:r>
      <w:r>
        <w:t xml:space="preserve"> </w:t>
      </w:r>
      <w:hyperlink r:id="rId335">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336"/>
    <w:bookmarkStart w:id="338" w:name="X198fdb16c8fc7a35b09e2bd06fa55d9778dea13"/>
    <w:p>
      <w:pPr>
        <w:pStyle w:val="Bibliography"/>
      </w:pPr>
      <w:r>
        <w:t xml:space="preserve">Australian Energy Market Operator, 2022d.</w:t>
      </w:r>
      <w:r>
        <w:t xml:space="preserve"> </w:t>
      </w:r>
      <w:hyperlink r:id="rId337">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338"/>
    <w:bookmarkStart w:id="340" w:name="X2be6cc22a49955f8f33216e2ee7e30f4d5251f3"/>
    <w:p>
      <w:pPr>
        <w:pStyle w:val="Bibliography"/>
      </w:pPr>
      <w:r>
        <w:t xml:space="preserve">Australian Energy Market Operator, 2022e.</w:t>
      </w:r>
      <w:r>
        <w:t xml:space="preserve"> </w:t>
      </w:r>
      <w:hyperlink r:id="rId339">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340"/>
    <w:bookmarkStart w:id="341"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341"/>
    <w:bookmarkStart w:id="342"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342"/>
    <w:bookmarkStart w:id="344" w:name="X3f3bf6f6062ae28ac207f19cca41ed92cbea4fc"/>
    <w:p>
      <w:pPr>
        <w:pStyle w:val="Bibliography"/>
      </w:pPr>
      <w:r>
        <w:t xml:space="preserve">Australian Energy Market Operator, 2021f.</w:t>
      </w:r>
      <w:r>
        <w:t xml:space="preserve"> </w:t>
      </w:r>
      <w:hyperlink r:id="rId343">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344"/>
    <w:bookmarkStart w:id="345"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345"/>
    <w:bookmarkStart w:id="346"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346"/>
    <w:bookmarkStart w:id="347"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347"/>
    <w:bookmarkStart w:id="349" w:name="X5b5be612faa4540a649c1fcf2dc213ae48fcd46"/>
    <w:p>
      <w:pPr>
        <w:pStyle w:val="Bibliography"/>
      </w:pPr>
      <w:r>
        <w:t xml:space="preserve">Australian Energy Market Operator, 2021q.</w:t>
      </w:r>
      <w:r>
        <w:t xml:space="preserve"> </w:t>
      </w:r>
      <w:hyperlink r:id="rId348">
        <w:r>
          <w:rPr>
            <w:rStyle w:val="Hyperlink"/>
          </w:rPr>
          <w:t xml:space="preserve">Fast-</w:t>
        </w:r>
        <w:r>
          <w:rPr>
            <w:rStyle w:val="Hyperlink"/>
          </w:rPr>
          <w:t xml:space="preserve">Start Inflexibility Profile</w:t>
        </w:r>
      </w:hyperlink>
      <w:r>
        <w:t xml:space="preserve">.</w:t>
      </w:r>
    </w:p>
    <w:bookmarkEnd w:id="349"/>
    <w:bookmarkStart w:id="350"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350"/>
    <w:bookmarkStart w:id="351"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351"/>
    <w:bookmarkStart w:id="352"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352"/>
    <w:bookmarkStart w:id="354" w:name="Xc80a4ce6e97b6d6e54021b39f96d3cb38ebe560"/>
    <w:p>
      <w:pPr>
        <w:pStyle w:val="Bibliography"/>
      </w:pPr>
      <w:r>
        <w:t xml:space="preserve">Australian Energy Market Operator, 2021l.</w:t>
      </w:r>
      <w:r>
        <w:t xml:space="preserve"> </w:t>
      </w:r>
      <w:hyperlink r:id="rId353">
        <w:r>
          <w:rPr>
            <w:rStyle w:val="Hyperlink"/>
          </w:rPr>
          <w:t xml:space="preserve">Operating the grid with high roof-top solar generation</w:t>
        </w:r>
      </w:hyperlink>
      <w:r>
        <w:t xml:space="preserve">.</w:t>
      </w:r>
    </w:p>
    <w:bookmarkEnd w:id="354"/>
    <w:bookmarkStart w:id="356" w:name="X138fae50e25c01b7409075b0a50e9911ea1d9a1"/>
    <w:p>
      <w:pPr>
        <w:pStyle w:val="Bibliography"/>
      </w:pPr>
      <w:r>
        <w:t xml:space="preserve">Australian Energy Market Operator, 2021k.</w:t>
      </w:r>
      <w:r>
        <w:t xml:space="preserve"> </w:t>
      </w:r>
      <w:hyperlink r:id="rId355">
        <w:r>
          <w:rPr>
            <w:rStyle w:val="Hyperlink"/>
          </w:rPr>
          <w:t xml:space="preserve">Pre-dispatch operating procedure</w:t>
        </w:r>
      </w:hyperlink>
      <w:r>
        <w:t xml:space="preserve">.</w:t>
      </w:r>
    </w:p>
    <w:bookmarkEnd w:id="356"/>
    <w:bookmarkStart w:id="358" w:name="X0602c29f6776959539c049d0a18ec3c3d6c7a73"/>
    <w:p>
      <w:pPr>
        <w:pStyle w:val="Bibliography"/>
      </w:pPr>
      <w:r>
        <w:t xml:space="preserve">Australian Energy Market Operator, 2021m.</w:t>
      </w:r>
      <w:r>
        <w:t xml:space="preserve"> </w:t>
      </w:r>
      <w:hyperlink r:id="rId357">
        <w:r>
          <w:rPr>
            <w:rStyle w:val="Hyperlink"/>
          </w:rPr>
          <w:t xml:space="preserve">Pre-</w:t>
        </w:r>
        <w:r>
          <w:rPr>
            <w:rStyle w:val="Hyperlink"/>
          </w:rPr>
          <w:t xml:space="preserve">Dispatch Sensitivities</w:t>
        </w:r>
      </w:hyperlink>
      <w:r>
        <w:t xml:space="preserve">.</w:t>
      </w:r>
    </w:p>
    <w:bookmarkEnd w:id="358"/>
    <w:bookmarkStart w:id="359"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359"/>
    <w:bookmarkStart w:id="360"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360"/>
    <w:bookmarkStart w:id="362" w:name="X25d6c8931f34b0888aef1a4b1f37d38df3544a3"/>
    <w:p>
      <w:pPr>
        <w:pStyle w:val="Bibliography"/>
      </w:pPr>
      <w:r>
        <w:t xml:space="preserve">Australian Energy Market Operator, 2021n.</w:t>
      </w:r>
      <w:r>
        <w:t xml:space="preserve"> </w:t>
      </w:r>
      <w:hyperlink r:id="rId361">
        <w:r>
          <w:rPr>
            <w:rStyle w:val="Hyperlink"/>
          </w:rPr>
          <w:t xml:space="preserve">Short</w:t>
        </w:r>
        <w:r>
          <w:rPr>
            <w:rStyle w:val="Hyperlink"/>
          </w:rPr>
          <w:t xml:space="preserve"> </w:t>
        </w:r>
        <w:r>
          <w:rPr>
            <w:rStyle w:val="Hyperlink"/>
          </w:rPr>
          <w:t xml:space="preserve">Term Reserve Management</w:t>
        </w:r>
      </w:hyperlink>
      <w:r>
        <w:t xml:space="preserve">.</w:t>
      </w:r>
    </w:p>
    <w:bookmarkEnd w:id="362"/>
    <w:bookmarkStart w:id="363"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363"/>
    <w:bookmarkStart w:id="365" w:name="X42f043549b7193d693ae6e1802f73c9d642ba94"/>
    <w:p>
      <w:pPr>
        <w:pStyle w:val="Bibliography"/>
      </w:pPr>
      <w:r>
        <w:t xml:space="preserve">Australian Energy Market Operator, 2020a.</w:t>
      </w:r>
      <w:r>
        <w:t xml:space="preserve"> </w:t>
      </w:r>
      <w:hyperlink r:id="rId364">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365"/>
    <w:bookmarkStart w:id="367" w:name="X0e5a15395ae87400b0bd32f617ab7fb54b9a292"/>
    <w:p>
      <w:pPr>
        <w:pStyle w:val="Bibliography"/>
      </w:pPr>
      <w:r>
        <w:t xml:space="preserve">Australian Energy Market Operator, 2020f.</w:t>
      </w:r>
      <w:r>
        <w:t xml:space="preserve"> </w:t>
      </w:r>
      <w:hyperlink r:id="rId366">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367"/>
    <w:bookmarkStart w:id="369" w:name="X0be2f5c022c6778c7c7f47026236c7b27614cd9"/>
    <w:p>
      <w:pPr>
        <w:pStyle w:val="Bibliography"/>
      </w:pPr>
      <w:r>
        <w:t xml:space="preserve">Australian Energy Market Operator, 2020b.</w:t>
      </w:r>
      <w:r>
        <w:t xml:space="preserve"> </w:t>
      </w:r>
      <w:hyperlink r:id="rId368">
        <w:r>
          <w:rPr>
            <w:rStyle w:val="Hyperlink"/>
          </w:rPr>
          <w:t xml:space="preserve">2020</w:t>
        </w:r>
        <w:r>
          <w:rPr>
            <w:rStyle w:val="Hyperlink"/>
          </w:rPr>
          <w:t xml:space="preserve"> </w:t>
        </w:r>
        <w:r>
          <w:rPr>
            <w:rStyle w:val="Hyperlink"/>
          </w:rPr>
          <w:t xml:space="preserve">ISP Generation Outlook</w:t>
        </w:r>
      </w:hyperlink>
      <w:r>
        <w:t xml:space="preserve">.</w:t>
      </w:r>
    </w:p>
    <w:bookmarkEnd w:id="369"/>
    <w:bookmarkStart w:id="370" w:name="X6dbca71f20d6dea6ee0577c224e81d3864bbcbe"/>
    <w:p>
      <w:pPr>
        <w:pStyle w:val="Bibliography"/>
      </w:pPr>
      <w:r>
        <w:t xml:space="preserve">Australian Energy Market Operator, 2020p.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366">
        <w:r>
          <w:rPr>
            <w:rStyle w:val="Hyperlink"/>
          </w:rPr>
          <w:t xml:space="preserve">https://aemo.com.au/energy-systems/major-publications/integrated-system-plan-isp/2020-integrated-system-plan-isp</w:t>
        </w:r>
      </w:hyperlink>
    </w:p>
    <w:bookmarkEnd w:id="370"/>
    <w:bookmarkStart w:id="372" w:name="X65c327332b0f72f124cbb058ff6ac08f30604c6"/>
    <w:p>
      <w:pPr>
        <w:pStyle w:val="Bibliography"/>
      </w:pPr>
      <w:r>
        <w:t xml:space="preserve">Australian Energy Market Operator, 2020o.</w:t>
      </w:r>
      <w:r>
        <w:t xml:space="preserve"> </w:t>
      </w:r>
      <w:hyperlink r:id="rId371">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372"/>
    <w:bookmarkStart w:id="373" w:name="X53f76bdd056d9eea02eec09df53cfa79f28c5b7"/>
    <w:p>
      <w:pPr>
        <w:pStyle w:val="Bibliography"/>
      </w:pPr>
      <w:r>
        <w:t xml:space="preserve">Australian Energy Market Operator, 2020k. Interim</w:t>
      </w:r>
      <w:r>
        <w:t xml:space="preserve"> </w:t>
      </w:r>
      <w:r>
        <w:t xml:space="preserve">Primary Frequency Response Requirements</w:t>
      </w:r>
      <w:r>
        <w:t xml:space="preserve">.</w:t>
      </w:r>
    </w:p>
    <w:bookmarkEnd w:id="373"/>
    <w:bookmarkStart w:id="374" w:name="X25d4e8862632231c092922d0533da768306b12c"/>
    <w:p>
      <w:pPr>
        <w:pStyle w:val="Bibliography"/>
      </w:pPr>
      <w:r>
        <w:t xml:space="preserve">Australian Energy Market Operator, 2020g. Market ancillary service specification.</w:t>
      </w:r>
    </w:p>
    <w:bookmarkEnd w:id="374"/>
    <w:bookmarkStart w:id="375" w:name="Xfc619ad5e2a1dfeb5693209aca0f75fa447feeb"/>
    <w:p>
      <w:pPr>
        <w:pStyle w:val="Bibliography"/>
      </w:pPr>
      <w:r>
        <w:t xml:space="preserve">Australian Energy Market Operator, 2020i.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375"/>
    <w:bookmarkStart w:id="376" w:name="X93982e7f1c88923160c0a3117b808f0a1c28969"/>
    <w:p>
      <w:pPr>
        <w:pStyle w:val="Bibliography"/>
      </w:pPr>
      <w:r>
        <w:t xml:space="preserve">Australian Energy Market Operator, 2020e. Power</w:t>
      </w:r>
      <w:r>
        <w:t xml:space="preserve"> </w:t>
      </w:r>
      <w:r>
        <w:t xml:space="preserve">System Requirements</w:t>
      </w:r>
      <w:r>
        <w:t xml:space="preserve">.</w:t>
      </w:r>
    </w:p>
    <w:bookmarkEnd w:id="376"/>
    <w:bookmarkStart w:id="377" w:name="X2713d682f460f54a036fc743e7e0c8571400df5"/>
    <w:p>
      <w:pPr>
        <w:pStyle w:val="Bibliography"/>
      </w:pPr>
      <w:r>
        <w:t xml:space="preserve">Australian Energy Market Operator, 2020l. Quarterly</w:t>
      </w:r>
      <w:r>
        <w:t xml:space="preserve"> </w:t>
      </w:r>
      <w:r>
        <w:t xml:space="preserve">Energy Dynamics Q1</w:t>
      </w:r>
      <w:r>
        <w:t xml:space="preserve"> </w:t>
      </w:r>
      <w:r>
        <w:t xml:space="preserve">2020.</w:t>
      </w:r>
    </w:p>
    <w:bookmarkEnd w:id="377"/>
    <w:bookmarkStart w:id="379" w:name="X32f514c2fd5da416d4352e544a7bc9b85a2b767"/>
    <w:p>
      <w:pPr>
        <w:pStyle w:val="Bibliography"/>
      </w:pPr>
      <w:r>
        <w:t xml:space="preserve">Australian Energy Market Operator, 2020n.</w:t>
      </w:r>
      <w:r>
        <w:t xml:space="preserve"> </w:t>
      </w:r>
      <w:hyperlink r:id="rId378">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379"/>
    <w:bookmarkStart w:id="380" w:name="X2cabe126713e4162a0fb000c86d68d3e3e288c6"/>
    <w:p>
      <w:pPr>
        <w:pStyle w:val="Bibliography"/>
      </w:pPr>
      <w:r>
        <w:t xml:space="preserve">Australian Energy Market Operator, 2020c.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380"/>
    <w:bookmarkStart w:id="381" w:name="X0e03840bb3a8964157d0fa5fb491ec9540cd333"/>
    <w:p>
      <w:pPr>
        <w:pStyle w:val="Bibliography"/>
      </w:pPr>
      <w:r>
        <w:t xml:space="preserve">Australian Energy Market Operator, 2020j.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381"/>
    <w:bookmarkStart w:id="382" w:name="X1e56b8dc9deabe582649f9930346b434910d2bf"/>
    <w:p>
      <w:pPr>
        <w:pStyle w:val="Bibliography"/>
      </w:pPr>
      <w:r>
        <w:t xml:space="preserve">Australian Energy Market Operator, 2020d.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382"/>
    <w:bookmarkStart w:id="383" w:name="X72c0b4894adba6fe5116b27ff4793a7b2f6bd43"/>
    <w:p>
      <w:pPr>
        <w:pStyle w:val="Bibliography"/>
      </w:pPr>
      <w:r>
        <w:t xml:space="preserve">Australian Energy Market Operator, 2020h. System strength in the</w:t>
      </w:r>
      <w:r>
        <w:t xml:space="preserve"> </w:t>
      </w:r>
      <w:r>
        <w:t xml:space="preserve">NEM</w:t>
      </w:r>
      <w:r>
        <w:t xml:space="preserve"> </w:t>
      </w:r>
      <w:r>
        <w:t xml:space="preserve">explained.</w:t>
      </w:r>
    </w:p>
    <w:bookmarkEnd w:id="383"/>
    <w:bookmarkStart w:id="385" w:name="X3f3a611a4aac621679da42392957269bd79b28f"/>
    <w:p>
      <w:pPr>
        <w:pStyle w:val="Bibliography"/>
      </w:pPr>
      <w:r>
        <w:t xml:space="preserve">Australian Energy Market Operator, 2020m.</w:t>
      </w:r>
      <w:r>
        <w:t xml:space="preserve"> </w:t>
      </w:r>
      <w:hyperlink r:id="rId38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385"/>
    <w:bookmarkStart w:id="38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386">
        <w:r>
          <w:rPr>
            <w:rStyle w:val="Hyperlink"/>
          </w:rPr>
          <w:t xml:space="preserve">https://aemo.com.au/energy-systems/major-publications/integrated-system-plan-isp/2020-integrated-system-plan-isp/2019-isp-database</w:t>
        </w:r>
      </w:hyperlink>
    </w:p>
    <w:bookmarkEnd w:id="387"/>
    <w:bookmarkStart w:id="38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386">
        <w:r>
          <w:rPr>
            <w:rStyle w:val="Hyperlink"/>
          </w:rPr>
          <w:t xml:space="preserve">https://aemo.com.au/energy-systems/major-publications/integrated-system-plan-isp/2020-integrated-system-plan-isp/2019-isp-database</w:t>
        </w:r>
      </w:hyperlink>
    </w:p>
    <w:bookmarkEnd w:id="388"/>
    <w:bookmarkStart w:id="38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389"/>
    <w:bookmarkStart w:id="39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390"/>
    <w:bookmarkStart w:id="39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391"/>
    <w:bookmarkStart w:id="39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392"/>
    <w:bookmarkStart w:id="39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393"/>
    <w:bookmarkStart w:id="395" w:name="X4987a8262f6f92063ffda336c2631f4f0954a6a"/>
    <w:p>
      <w:pPr>
        <w:pStyle w:val="Bibliography"/>
      </w:pPr>
      <w:r>
        <w:t xml:space="preserve">Australian Energy Market Operator, 2018a.</w:t>
      </w:r>
      <w:r>
        <w:t xml:space="preserve"> </w:t>
      </w:r>
      <w:hyperlink r:id="rId39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395"/>
    <w:bookmarkStart w:id="39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396"/>
    <w:bookmarkStart w:id="397" w:name="X677accbfeb336ffeb381645c930e4110a8b0447"/>
    <w:p>
      <w:pPr>
        <w:pStyle w:val="Bibliography"/>
      </w:pPr>
      <w:r>
        <w:t xml:space="preserve">Australian Energy Market Operator, 2018c. Inertia requirements methodology: Inertia requirements &amp; shortfalls.</w:t>
      </w:r>
    </w:p>
    <w:bookmarkEnd w:id="397"/>
    <w:bookmarkStart w:id="39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398"/>
    <w:bookmarkStart w:id="39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399"/>
    <w:bookmarkStart w:id="401" w:name="X5c182828f385588cc99aab2cf38eca38b2183a4"/>
    <w:p>
      <w:pPr>
        <w:pStyle w:val="Bibliography"/>
      </w:pPr>
      <w:r>
        <w:t xml:space="preserve">Australian Energy Market Operator, 2018g.</w:t>
      </w:r>
      <w:r>
        <w:t xml:space="preserve"> </w:t>
      </w:r>
      <w:hyperlink r:id="rId400">
        <w:r>
          <w:rPr>
            <w:rStyle w:val="Hyperlink"/>
          </w:rPr>
          <w:t xml:space="preserve">Reserve</w:t>
        </w:r>
        <w:r>
          <w:rPr>
            <w:rStyle w:val="Hyperlink"/>
          </w:rPr>
          <w:t xml:space="preserve"> </w:t>
        </w:r>
        <w:r>
          <w:rPr>
            <w:rStyle w:val="Hyperlink"/>
          </w:rPr>
          <w:t xml:space="preserve">Level Declaration Guidelines</w:t>
        </w:r>
      </w:hyperlink>
      <w:r>
        <w:t xml:space="preserve">.</w:t>
      </w:r>
    </w:p>
    <w:bookmarkEnd w:id="401"/>
    <w:bookmarkStart w:id="40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402"/>
    <w:bookmarkStart w:id="40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403"/>
    <w:bookmarkStart w:id="40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404"/>
    <w:bookmarkStart w:id="40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405"/>
    <w:bookmarkStart w:id="40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406"/>
    <w:bookmarkStart w:id="40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407"/>
    <w:bookmarkStart w:id="40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408"/>
    <w:bookmarkStart w:id="410" w:name="X3d4c8dbacd98ce489f3f9224cc3851ddc516c4d"/>
    <w:p>
      <w:pPr>
        <w:pStyle w:val="Bibliography"/>
      </w:pPr>
      <w:r>
        <w:t xml:space="preserve">Australian Energy Market Operator, 2012.</w:t>
      </w:r>
      <w:r>
        <w:t xml:space="preserve"> </w:t>
      </w:r>
      <w:hyperlink r:id="rId409">
        <w:r>
          <w:rPr>
            <w:rStyle w:val="Hyperlink"/>
          </w:rPr>
          <w:t xml:space="preserve">Short</w:t>
        </w:r>
        <w:r>
          <w:rPr>
            <w:rStyle w:val="Hyperlink"/>
          </w:rPr>
          <w:t xml:space="preserve"> </w:t>
        </w:r>
        <w:r>
          <w:rPr>
            <w:rStyle w:val="Hyperlink"/>
          </w:rPr>
          <w:t xml:space="preserve">Term PASA Process Description</w:t>
        </w:r>
      </w:hyperlink>
      <w:r>
        <w:t xml:space="preserve">.</w:t>
      </w:r>
    </w:p>
    <w:bookmarkEnd w:id="410"/>
    <w:bookmarkStart w:id="411"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411"/>
    <w:bookmarkStart w:id="413" w:name="Xc186a249c6fb8f47c02edfd5d5d5296888aef42"/>
    <w:p>
      <w:pPr>
        <w:pStyle w:val="Bibliography"/>
      </w:pPr>
      <w:r>
        <w:t xml:space="preserve">Australian Energy Regulator, 2022.</w:t>
      </w:r>
      <w:r>
        <w:t xml:space="preserve"> </w:t>
      </w:r>
      <w:hyperlink r:id="rId412">
        <w:r>
          <w:rPr>
            <w:rStyle w:val="Hyperlink"/>
          </w:rPr>
          <w:t xml:space="preserve">State of the energy market 2022</w:t>
        </w:r>
      </w:hyperlink>
      <w:r>
        <w:t xml:space="preserve">.</w:t>
      </w:r>
    </w:p>
    <w:bookmarkEnd w:id="413"/>
    <w:bookmarkStart w:id="414"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414"/>
    <w:bookmarkStart w:id="415"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415"/>
    <w:bookmarkStart w:id="417" w:name="X64112f62afbcd7ff6be2cba0000e3dcd5442845"/>
    <w:p>
      <w:pPr>
        <w:pStyle w:val="Bibliography"/>
      </w:pPr>
      <w:r>
        <w:t xml:space="preserve">Australian Energy Regulator, 2019.</w:t>
      </w:r>
      <w:r>
        <w:t xml:space="preserve"> </w:t>
      </w:r>
      <w:hyperlink r:id="rId416">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417"/>
    <w:bookmarkStart w:id="419"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418">
        <w:r>
          <w:rPr>
            <w:rStyle w:val="Hyperlink"/>
          </w:rPr>
          <w:t xml:space="preserve">https://pv-map.apvi.org.au</w:t>
        </w:r>
      </w:hyperlink>
      <w:r>
        <w:t xml:space="preserve"> </w:t>
      </w:r>
      <w:r>
        <w:t xml:space="preserve">(accessed 5.23.2022).</w:t>
      </w:r>
    </w:p>
    <w:bookmarkEnd w:id="419"/>
    <w:bookmarkStart w:id="421"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420">
        <w:r>
          <w:rPr>
            <w:rStyle w:val="Hyperlink"/>
          </w:rPr>
          <w:t xml:space="preserve">https://doi.org/10.1016/j.rser.2018.03.085</w:t>
        </w:r>
      </w:hyperlink>
    </w:p>
    <w:bookmarkEnd w:id="421"/>
    <w:bookmarkStart w:id="423"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422">
        <w:r>
          <w:rPr>
            <w:rStyle w:val="Hyperlink"/>
          </w:rPr>
          <w:t xml:space="preserve">https://doi.org/10.1109/TPWRS.2019.2925557</w:t>
        </w:r>
      </w:hyperlink>
    </w:p>
    <w:bookmarkEnd w:id="423"/>
    <w:bookmarkStart w:id="425"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424">
        <w:r>
          <w:rPr>
            <w:rStyle w:val="Hyperlink"/>
          </w:rPr>
          <w:t xml:space="preserve">https://doi.org/10.26889/9781784671600</w:t>
        </w:r>
      </w:hyperlink>
    </w:p>
    <w:bookmarkEnd w:id="425"/>
    <w:bookmarkStart w:id="427"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426">
        <w:r>
          <w:rPr>
            <w:rStyle w:val="Hyperlink"/>
          </w:rPr>
          <w:t xml:space="preserve">https://doi.org/10.1016/j.tej.2019.106668</w:t>
        </w:r>
      </w:hyperlink>
    </w:p>
    <w:bookmarkEnd w:id="427"/>
    <w:bookmarkStart w:id="429" w:name="ref-cherevatskiyGridFormingEnergy2020"/>
    <w:p>
      <w:pPr>
        <w:pStyle w:val="Bibliography"/>
      </w:pPr>
      <w:r>
        <w:t xml:space="preserve">Cherevatskiy, S., Sproul, S., Zabihi, S., Korte, R., Klingenberg, H., Buchholz, B., Oudalov, A., 2020.</w:t>
      </w:r>
      <w:r>
        <w:t xml:space="preserve"> </w:t>
      </w:r>
      <w:hyperlink r:id="rId428">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429"/>
    <w:bookmarkStart w:id="431"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430">
        <w:r>
          <w:rPr>
            <w:rStyle w:val="Hyperlink"/>
          </w:rPr>
          <w:t xml:space="preserve">https://doi.org/10.1109/jproc.2005.857493</w:t>
        </w:r>
      </w:hyperlink>
    </w:p>
    <w:bookmarkEnd w:id="431"/>
    <w:bookmarkStart w:id="432"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432"/>
    <w:bookmarkStart w:id="434"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433">
        <w:r>
          <w:rPr>
            <w:rStyle w:val="Hyperlink"/>
          </w:rPr>
          <w:t xml:space="preserve">https://doi.org/10.1109/TPWRS.2022.3163106</w:t>
        </w:r>
      </w:hyperlink>
    </w:p>
    <w:bookmarkEnd w:id="434"/>
    <w:bookmarkStart w:id="436" w:name="ref-cramtonElectricityMarketDesign2017"/>
    <w:p>
      <w:pPr>
        <w:pStyle w:val="Bibliography"/>
      </w:pPr>
      <w:r>
        <w:t xml:space="preserve">Cramton, P., 2017. Electricity market design. Oxford Review of Economic Policy 33, 589–612.</w:t>
      </w:r>
      <w:r>
        <w:t xml:space="preserve"> </w:t>
      </w:r>
      <w:hyperlink r:id="rId435">
        <w:r>
          <w:rPr>
            <w:rStyle w:val="Hyperlink"/>
          </w:rPr>
          <w:t xml:space="preserve">https://doi.org/10.1093/oxrep/grx041</w:t>
        </w:r>
      </w:hyperlink>
    </w:p>
    <w:bookmarkEnd w:id="436"/>
    <w:bookmarkStart w:id="438"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437">
        <w:r>
          <w:rPr>
            <w:rStyle w:val="Hyperlink"/>
          </w:rPr>
          <w:t xml:space="preserve">https://doi.org/10.1016/j.seta.2021.101286</w:t>
        </w:r>
      </w:hyperlink>
    </w:p>
    <w:bookmarkEnd w:id="438"/>
    <w:bookmarkStart w:id="440"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439">
        <w:r>
          <w:rPr>
            <w:rStyle w:val="Hyperlink"/>
          </w:rPr>
          <w:t xml:space="preserve">https://doi.org/10.1016/j.enpol.2018.09.031</w:t>
        </w:r>
      </w:hyperlink>
    </w:p>
    <w:bookmarkEnd w:id="440"/>
    <w:bookmarkStart w:id="442"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441">
        <w:r>
          <w:rPr>
            <w:rStyle w:val="Hyperlink"/>
          </w:rPr>
          <w:t xml:space="preserve">https://doi.org/10.1093/ooenergy/oiab007</w:t>
        </w:r>
      </w:hyperlink>
    </w:p>
    <w:bookmarkEnd w:id="442"/>
    <w:bookmarkStart w:id="444"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443">
        <w:r>
          <w:rPr>
            <w:rStyle w:val="Hyperlink"/>
          </w:rPr>
          <w:t xml:space="preserve">https://doi.org/10.1016/j.epsr.2021.107022</w:t>
        </w:r>
      </w:hyperlink>
    </w:p>
    <w:bookmarkEnd w:id="444"/>
    <w:bookmarkStart w:id="446"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445">
        <w:r>
          <w:rPr>
            <w:rStyle w:val="Hyperlink"/>
          </w:rPr>
          <w:t xml:space="preserve">https://doi.org/10.1016/j.enpol.2018.01.023</w:t>
        </w:r>
      </w:hyperlink>
    </w:p>
    <w:bookmarkEnd w:id="446"/>
    <w:bookmarkStart w:id="447"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447"/>
    <w:bookmarkStart w:id="448"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448"/>
    <w:bookmarkStart w:id="449"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449"/>
    <w:bookmarkStart w:id="450"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450"/>
    <w:bookmarkStart w:id="452"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451">
        <w:r>
          <w:rPr>
            <w:rStyle w:val="Hyperlink"/>
          </w:rPr>
          <w:t xml:space="preserve">https://doi.org/10.1049/iet-gtd.2013.0720</w:t>
        </w:r>
      </w:hyperlink>
    </w:p>
    <w:bookmarkEnd w:id="452"/>
    <w:bookmarkStart w:id="454"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453">
        <w:r>
          <w:rPr>
            <w:rStyle w:val="Hyperlink"/>
          </w:rPr>
          <w:t xml:space="preserve">https://doi.org/10.1109/MPE.2021.3088958</w:t>
        </w:r>
      </w:hyperlink>
    </w:p>
    <w:bookmarkEnd w:id="454"/>
    <w:bookmarkStart w:id="456"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455">
        <w:r>
          <w:rPr>
            <w:rStyle w:val="Hyperlink"/>
          </w:rPr>
          <w:t xml:space="preserve">https://doi.org/10.1007/s11149-021-09430-7</w:t>
        </w:r>
      </w:hyperlink>
    </w:p>
    <w:bookmarkEnd w:id="456"/>
    <w:bookmarkStart w:id="458" w:name="ref-elaAncillaryServicesUnited2019"/>
    <w:p>
      <w:pPr>
        <w:pStyle w:val="Bibliography"/>
      </w:pPr>
      <w:r>
        <w:t xml:space="preserve">Ela, E., Hytowitz, R.B., 2019.</w:t>
      </w:r>
      <w:r>
        <w:t xml:space="preserve"> </w:t>
      </w:r>
      <w:hyperlink r:id="rId457">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458"/>
    <w:bookmarkStart w:id="460"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459">
        <w:r>
          <w:rPr>
            <w:rStyle w:val="Hyperlink"/>
          </w:rPr>
          <w:t xml:space="preserve">https://doi.org/10.1109/pesgm.2012.6345361</w:t>
        </w:r>
      </w:hyperlink>
    </w:p>
    <w:bookmarkEnd w:id="460"/>
    <w:bookmarkStart w:id="462"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461">
        <w:r>
          <w:rPr>
            <w:rStyle w:val="Hyperlink"/>
          </w:rPr>
          <w:t xml:space="preserve">https://doi.org/10.1016/j.tej.2016.05.001</w:t>
        </w:r>
      </w:hyperlink>
    </w:p>
    <w:bookmarkEnd w:id="462"/>
    <w:bookmarkStart w:id="464"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463">
        <w:r>
          <w:rPr>
            <w:rStyle w:val="Hyperlink"/>
          </w:rPr>
          <w:t xml:space="preserve">https://doi.org/10.2172/1023095</w:t>
        </w:r>
      </w:hyperlink>
    </w:p>
    <w:bookmarkEnd w:id="464"/>
    <w:bookmarkStart w:id="466"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465">
        <w:r>
          <w:rPr>
            <w:rStyle w:val="Hyperlink"/>
          </w:rPr>
          <w:t xml:space="preserve">https://doi.org/10.1109/mpe.2020.3033396</w:t>
        </w:r>
      </w:hyperlink>
    </w:p>
    <w:bookmarkEnd w:id="466"/>
    <w:bookmarkStart w:id="468"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467">
        <w:r>
          <w:rPr>
            <w:rStyle w:val="Hyperlink"/>
          </w:rPr>
          <w:t xml:space="preserve">https://doi.org/10.1109/mpe.2019.2933281</w:t>
        </w:r>
      </w:hyperlink>
    </w:p>
    <w:bookmarkEnd w:id="468"/>
    <w:bookmarkStart w:id="470"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469">
        <w:r>
          <w:rPr>
            <w:rStyle w:val="Hyperlink"/>
          </w:rPr>
          <w:t xml:space="preserve">https://doi.org/10.1016/j.tej.2012.04.015</w:t>
        </w:r>
      </w:hyperlink>
    </w:p>
    <w:bookmarkEnd w:id="470"/>
    <w:bookmarkStart w:id="472"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471">
        <w:r>
          <w:rPr>
            <w:rStyle w:val="Hyperlink"/>
          </w:rPr>
          <w:t xml:space="preserve">https://www.projectenergyconnect.com.au/index.html</w:t>
        </w:r>
      </w:hyperlink>
      <w:r>
        <w:t xml:space="preserve"> </w:t>
      </w:r>
      <w:r>
        <w:t xml:space="preserve">(accessed 4.12.2022).</w:t>
      </w:r>
    </w:p>
    <w:bookmarkEnd w:id="472"/>
    <w:bookmarkStart w:id="474" w:name="Xf2b71f0688f5c136cf7f65402d8c0e046f8bb5c"/>
    <w:p>
      <w:pPr>
        <w:pStyle w:val="Bibliography"/>
      </w:pPr>
      <w:r>
        <w:t xml:space="preserve">Electricity Sector Climate Information Project, 2021.</w:t>
      </w:r>
      <w:r>
        <w:t xml:space="preserve"> </w:t>
      </w:r>
      <w:hyperlink r:id="rId473">
        <w:r>
          <w:rPr>
            <w:rStyle w:val="Hyperlink"/>
          </w:rPr>
          <w:t xml:space="preserve">ESCI Project Final Report</w:t>
        </w:r>
      </w:hyperlink>
      <w:r>
        <w:t xml:space="preserve">.</w:t>
      </w:r>
    </w:p>
    <w:bookmarkEnd w:id="474"/>
    <w:bookmarkStart w:id="476"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475">
        <w:r>
          <w:rPr>
            <w:rStyle w:val="Hyperlink"/>
          </w:rPr>
          <w:t xml:space="preserve">https://www.energyexemplar.com/plexos</w:t>
        </w:r>
      </w:hyperlink>
      <w:r>
        <w:t xml:space="preserve"> </w:t>
      </w:r>
      <w:r>
        <w:t xml:space="preserve">(accessed 4.13.2022).</w:t>
      </w:r>
    </w:p>
    <w:bookmarkEnd w:id="476"/>
    <w:bookmarkStart w:id="477" w:name="X7015a224666469daa6d4b0f722bbf71ebae73a3"/>
    <w:p>
      <w:pPr>
        <w:pStyle w:val="Bibliography"/>
      </w:pPr>
      <w:r>
        <w:t xml:space="preserve">Energy Security Board, 2021.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477"/>
    <w:bookmarkStart w:id="478" w:name="X6c60a147e49364a37325ec3c8c342d718257c70"/>
    <w:p>
      <w:pPr>
        <w:pStyle w:val="Bibliography"/>
      </w:pPr>
      <w:r>
        <w:t xml:space="preserve">Energy Security Board, 2020. Post 2025</w:t>
      </w:r>
      <w:r>
        <w:t xml:space="preserve"> </w:t>
      </w:r>
      <w:r>
        <w:t xml:space="preserve">Market Design Consultation Paper</w:t>
      </w:r>
      <w:r>
        <w:t xml:space="preserve">.</w:t>
      </w:r>
      <w:r>
        <w:t xml:space="preserve"> </w:t>
      </w:r>
      <w:r>
        <w:t xml:space="preserve">COAG Energy Council</w:t>
      </w:r>
      <w:r>
        <w:t xml:space="preserve">.</w:t>
      </w:r>
    </w:p>
    <w:bookmarkEnd w:id="478"/>
    <w:bookmarkStart w:id="479"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479"/>
    <w:bookmarkStart w:id="480"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480"/>
    <w:bookmarkStart w:id="482"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481">
        <w:r>
          <w:rPr>
            <w:rStyle w:val="Hyperlink"/>
          </w:rPr>
          <w:t xml:space="preserve">https://www.epexspot.com/en/marketcoupling</w:t>
        </w:r>
      </w:hyperlink>
      <w:r>
        <w:t xml:space="preserve"> </w:t>
      </w:r>
      <w:r>
        <w:t xml:space="preserve">(accessed 1.14.2022).</w:t>
      </w:r>
    </w:p>
    <w:bookmarkEnd w:id="482"/>
    <w:bookmarkStart w:id="484"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483">
        <w:r>
          <w:rPr>
            <w:rStyle w:val="Hyperlink"/>
          </w:rPr>
          <w:t xml:space="preserve">https://doi.org/10.1049/iet-rpg.2017.0370</w:t>
        </w:r>
      </w:hyperlink>
    </w:p>
    <w:bookmarkEnd w:id="484"/>
    <w:bookmarkStart w:id="485"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485"/>
    <w:bookmarkStart w:id="486"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486"/>
    <w:bookmarkStart w:id="488" w:name="Xc2eda901e84eb700caa2d19078af1c12c2e9550"/>
    <w:p>
      <w:pPr>
        <w:pStyle w:val="Bibliography"/>
      </w:pPr>
      <w:r>
        <w:t xml:space="preserve">European Commission, 2017.</w:t>
      </w:r>
      <w:r>
        <w:t xml:space="preserve"> </w:t>
      </w:r>
      <w:hyperlink r:id="rId487">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488"/>
    <w:bookmarkStart w:id="489"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489"/>
    <w:bookmarkStart w:id="490"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490"/>
    <w:bookmarkStart w:id="491"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491"/>
    <w:bookmarkStart w:id="493" w:name="Xa6a1827605ca5d143e229c53fba6f164e8ef9ec"/>
    <w:p>
      <w:pPr>
        <w:pStyle w:val="Bibliography"/>
      </w:pPr>
      <w:r>
        <w:t xml:space="preserve">Federal Energy Regulatory Commission, 2021.</w:t>
      </w:r>
      <w:r>
        <w:t xml:space="preserve"> </w:t>
      </w:r>
      <w:hyperlink r:id="rId492">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493"/>
    <w:bookmarkStart w:id="494" w:name="X977aae00333e0cfab0ba7c0b81bad1439afa208"/>
    <w:p>
      <w:pPr>
        <w:pStyle w:val="Bibliography"/>
      </w:pPr>
      <w:r>
        <w:t xml:space="preserve">Federal Energy Regulatory Commission, 2018.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494"/>
    <w:bookmarkStart w:id="496"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495">
        <w:r>
          <w:rPr>
            <w:rStyle w:val="Hyperlink"/>
          </w:rPr>
          <w:t xml:space="preserve">https://doi.org/10.1016/j.rser.2019.109662</w:t>
        </w:r>
      </w:hyperlink>
    </w:p>
    <w:bookmarkEnd w:id="496"/>
    <w:bookmarkStart w:id="498"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497">
        <w:r>
          <w:rPr>
            <w:rStyle w:val="Hyperlink"/>
          </w:rPr>
          <w:t xml:space="preserve">https://doi.org/10.1016/j.enpol.2021.112443</w:t>
        </w:r>
      </w:hyperlink>
    </w:p>
    <w:bookmarkEnd w:id="498"/>
    <w:bookmarkStart w:id="500"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499">
        <w:r>
          <w:rPr>
            <w:rStyle w:val="Hyperlink"/>
          </w:rPr>
          <w:t xml:space="preserve">https://doi.org/10.1016/j.joule.2021.03.021</w:t>
        </w:r>
      </w:hyperlink>
    </w:p>
    <w:bookmarkEnd w:id="500"/>
    <w:bookmarkStart w:id="502"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501">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502"/>
    <w:bookmarkStart w:id="503"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503"/>
    <w:bookmarkStart w:id="505" w:name="ref-gimonGridPhysicsMarkets2020"/>
    <w:p>
      <w:pPr>
        <w:pStyle w:val="Bibliography"/>
      </w:pPr>
      <w:r>
        <w:t xml:space="preserve">Gimon, E., 2020.</w:t>
      </w:r>
      <w:r>
        <w:t xml:space="preserve"> </w:t>
      </w:r>
      <w:hyperlink r:id="rId504">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505"/>
    <w:bookmarkStart w:id="507"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506">
        <w:r>
          <w:rPr>
            <w:rStyle w:val="Hyperlink"/>
          </w:rPr>
          <w:t xml:space="preserve">https://doi.org/10.1016/j.rser.2017.05.278</w:t>
        </w:r>
      </w:hyperlink>
    </w:p>
    <w:bookmarkEnd w:id="507"/>
    <w:bookmarkStart w:id="509" w:name="ref-gormanNEMOSISNEMOpen2018"/>
    <w:p>
      <w:pPr>
        <w:pStyle w:val="Bibliography"/>
      </w:pPr>
      <w:r>
        <w:t xml:space="preserve">Gorman, N., Haghdadi, N., Bruce, A., MacGill, I., 2018.</w:t>
      </w:r>
      <w:r>
        <w:t xml:space="preserve"> </w:t>
      </w:r>
      <w:hyperlink r:id="rId508">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509"/>
    <w:bookmarkStart w:id="510"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510"/>
    <w:bookmarkStart w:id="512"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511">
        <w:r>
          <w:rPr>
            <w:rStyle w:val="Hyperlink"/>
          </w:rPr>
          <w:t xml:space="preserve">https://doi.org/10.17775/cseejpes.2019.00230</w:t>
        </w:r>
      </w:hyperlink>
    </w:p>
    <w:bookmarkEnd w:id="512"/>
    <w:bookmarkStart w:id="514"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513">
        <w:r>
          <w:rPr>
            <w:rStyle w:val="Hyperlink"/>
          </w:rPr>
          <w:t xml:space="preserve">https://doi.org/10.1080/23251042.2016.1155690</w:t>
        </w:r>
      </w:hyperlink>
    </w:p>
    <w:bookmarkEnd w:id="514"/>
    <w:bookmarkStart w:id="516"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515">
        <w:r>
          <w:rPr>
            <w:rStyle w:val="Hyperlink"/>
          </w:rPr>
          <w:t xml:space="preserve">https://doi.org/10.1002/2050-7038.12128</w:t>
        </w:r>
      </w:hyperlink>
    </w:p>
    <w:bookmarkEnd w:id="516"/>
    <w:bookmarkStart w:id="518" w:name="ref-heggartyQuantifyingPowerSystem2020"/>
    <w:p>
      <w:pPr>
        <w:pStyle w:val="Bibliography"/>
      </w:pPr>
      <w:r>
        <w:t xml:space="preserve">Heggarty, T., Bourmaud, J.Y., Girard, R., Kariniotakis, G., 2020. Quantifying power system flexibility provision. Applied Energy 279.</w:t>
      </w:r>
      <w:r>
        <w:t xml:space="preserve"> </w:t>
      </w:r>
      <w:hyperlink r:id="rId517">
        <w:r>
          <w:rPr>
            <w:rStyle w:val="Hyperlink"/>
          </w:rPr>
          <w:t xml:space="preserve">https://doi.org/10.1016/j.apenergy.2020.115852</w:t>
        </w:r>
      </w:hyperlink>
    </w:p>
    <w:bookmarkEnd w:id="518"/>
    <w:bookmarkStart w:id="519"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519"/>
    <w:bookmarkStart w:id="521"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520">
        <w:r>
          <w:rPr>
            <w:rStyle w:val="Hyperlink"/>
          </w:rPr>
          <w:t xml:space="preserve">https://doi.org/10.1016/j.rser.2015.04.180</w:t>
        </w:r>
      </w:hyperlink>
    </w:p>
    <w:bookmarkEnd w:id="521"/>
    <w:bookmarkStart w:id="52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522">
        <w:r>
          <w:rPr>
            <w:rStyle w:val="Hyperlink"/>
          </w:rPr>
          <w:t xml:space="preserve">https://doi.org/10.1109/mpe.2018.2871736</w:t>
        </w:r>
      </w:hyperlink>
    </w:p>
    <w:bookmarkEnd w:id="523"/>
    <w:bookmarkStart w:id="525" w:name="ref-hoganElectricityScarcityPricing2013"/>
    <w:p>
      <w:pPr>
        <w:pStyle w:val="Bibliography"/>
      </w:pPr>
      <w:r>
        <w:t xml:space="preserve">Hogan, W.W., 2013. Electricity scarcity pricing through operating reserves. Economics of Energy and Environmental Policy 2, 65–86.</w:t>
      </w:r>
      <w:r>
        <w:t xml:space="preserve"> </w:t>
      </w:r>
      <w:hyperlink r:id="rId524">
        <w:r>
          <w:rPr>
            <w:rStyle w:val="Hyperlink"/>
          </w:rPr>
          <w:t xml:space="preserve">https://doi.org/10.5547/2160-5890.2.2.4</w:t>
        </w:r>
      </w:hyperlink>
    </w:p>
    <w:bookmarkEnd w:id="525"/>
    <w:bookmarkStart w:id="526"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526"/>
    <w:bookmarkStart w:id="528"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527">
        <w:r>
          <w:rPr>
            <w:rStyle w:val="Hyperlink"/>
          </w:rPr>
          <w:t xml:space="preserve">https://doi.org/10.1109/pesmg.2013.6673067</w:t>
        </w:r>
      </w:hyperlink>
    </w:p>
    <w:bookmarkEnd w:id="528"/>
    <w:bookmarkStart w:id="530" w:name="ref-hopwoodMandatoryPrimaryFrequency2019"/>
    <w:p>
      <w:pPr>
        <w:pStyle w:val="Bibliography"/>
      </w:pPr>
      <w:r>
        <w:t xml:space="preserve">Hopwood, C., 2019.</w:t>
      </w:r>
      <w:r>
        <w:t xml:space="preserve"> </w:t>
      </w:r>
      <w:hyperlink r:id="rId529">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530"/>
    <w:bookmarkStart w:id="532"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531">
        <w:r>
          <w:rPr>
            <w:rStyle w:val="Hyperlink"/>
          </w:rPr>
          <w:t xml:space="preserve">https://doi.org/10.1016/j.tej.2017.01.009</w:t>
        </w:r>
      </w:hyperlink>
    </w:p>
    <w:bookmarkEnd w:id="532"/>
    <w:bookmarkStart w:id="533"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533"/>
    <w:bookmarkStart w:id="535"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534">
        <w:r>
          <w:rPr>
            <w:rStyle w:val="Hyperlink"/>
          </w:rPr>
          <w:t xml:space="preserve">https://doi.org/10.1016/j.tej.2004.03.001</w:t>
        </w:r>
      </w:hyperlink>
    </w:p>
    <w:bookmarkEnd w:id="535"/>
    <w:bookmarkStart w:id="537"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536">
        <w:r>
          <w:rPr>
            <w:rStyle w:val="Hyperlink"/>
          </w:rPr>
          <w:t xml:space="preserve">https://www.ibm.com/au-en/analytics/cplex-optimizer</w:t>
        </w:r>
      </w:hyperlink>
      <w:r>
        <w:t xml:space="preserve"> </w:t>
      </w:r>
      <w:r>
        <w:t xml:space="preserve">(accessed 4.13.2022).</w:t>
      </w:r>
    </w:p>
    <w:bookmarkEnd w:id="537"/>
    <w:bookmarkStart w:id="539" w:name="X707547308052f2a4e45271b892818fca7267bcd"/>
    <w:p>
      <w:pPr>
        <w:pStyle w:val="Bibliography"/>
      </w:pPr>
      <w:r>
        <w:t xml:space="preserve">International Energy Agency, 2021.</w:t>
      </w:r>
      <w:r>
        <w:t xml:space="preserve"> </w:t>
      </w:r>
      <w:hyperlink r:id="rId538">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539"/>
    <w:bookmarkStart w:id="541" w:name="X6b2116a6968c52d8682ee37430ab1b91744235c"/>
    <w:p>
      <w:pPr>
        <w:pStyle w:val="Bibliography"/>
      </w:pPr>
      <w:r>
        <w:t xml:space="preserve">International Energy Agency, 2019.</w:t>
      </w:r>
      <w:r>
        <w:t xml:space="preserve"> </w:t>
      </w:r>
      <w:hyperlink r:id="rId540">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541"/>
    <w:bookmarkStart w:id="543"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542">
        <w:r>
          <w:rPr>
            <w:rStyle w:val="Hyperlink"/>
          </w:rPr>
          <w:t xml:space="preserve">https://doi.org/10.1016/j.enpol.2008.06.033</w:t>
        </w:r>
      </w:hyperlink>
    </w:p>
    <w:bookmarkEnd w:id="543"/>
    <w:bookmarkStart w:id="544"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544"/>
    <w:bookmarkStart w:id="546"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545">
        <w:r>
          <w:rPr>
            <w:rStyle w:val="Hyperlink"/>
          </w:rPr>
          <w:t xml:space="preserve">https://doi.org/10.1016/j.renene.2020.11.090</w:t>
        </w:r>
      </w:hyperlink>
    </w:p>
    <w:bookmarkEnd w:id="546"/>
    <w:bookmarkStart w:id="548"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547">
        <w:r>
          <w:rPr>
            <w:rStyle w:val="Hyperlink"/>
          </w:rPr>
          <w:t xml:space="preserve">https://doi.org/10.1016/j.solener.2020.05.053</w:t>
        </w:r>
      </w:hyperlink>
    </w:p>
    <w:bookmarkEnd w:id="548"/>
    <w:bookmarkStart w:id="549"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549"/>
    <w:bookmarkStart w:id="550"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550"/>
    <w:bookmarkStart w:id="552"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551">
        <w:r>
          <w:rPr>
            <w:rStyle w:val="Hyperlink"/>
          </w:rPr>
          <w:t xml:space="preserve">https://doi.org/10.1109/MPE.2016.2524964</w:t>
        </w:r>
      </w:hyperlink>
    </w:p>
    <w:bookmarkEnd w:id="552"/>
    <w:bookmarkStart w:id="554"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553">
        <w:r>
          <w:rPr>
            <w:rStyle w:val="Hyperlink"/>
          </w:rPr>
          <w:t xml:space="preserve">https://doi.org/10.1109/mpe.2016.2637122</w:t>
        </w:r>
      </w:hyperlink>
    </w:p>
    <w:bookmarkEnd w:id="554"/>
    <w:bookmarkStart w:id="556" w:name="ref-kuiperWhatStateVirtual2022"/>
    <w:p>
      <w:pPr>
        <w:pStyle w:val="Bibliography"/>
      </w:pPr>
      <w:r>
        <w:t xml:space="preserve">Kuiper, G., 2022.</w:t>
      </w:r>
      <w:r>
        <w:t xml:space="preserve"> </w:t>
      </w:r>
      <w:hyperlink r:id="rId555">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556"/>
    <w:bookmarkStart w:id="558"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557">
        <w:r>
          <w:rPr>
            <w:rStyle w:val="Hyperlink"/>
          </w:rPr>
          <w:t xml:space="preserve">https://doi.org/10.2172/1046269</w:t>
        </w:r>
      </w:hyperlink>
    </w:p>
    <w:bookmarkEnd w:id="558"/>
    <w:bookmarkStart w:id="560" w:name="ref-lagoMarketFrameworkGrid2021"/>
    <w:p>
      <w:pPr>
        <w:pStyle w:val="Bibliography"/>
      </w:pPr>
      <w:r>
        <w:t xml:space="preserve">Lago, J., Poplavskaya, K., Suryanarayana, G., De Schutter, B., 2021. A market framework for grid balancing support through imbalances trading. Renewable and Sustainable Energy Reviews 137, 110467.</w:t>
      </w:r>
      <w:r>
        <w:t xml:space="preserve"> </w:t>
      </w:r>
      <w:hyperlink r:id="rId559">
        <w:r>
          <w:rPr>
            <w:rStyle w:val="Hyperlink"/>
          </w:rPr>
          <w:t xml:space="preserve">https://doi.org/10.1016/j.rser.2020.110467</w:t>
        </w:r>
      </w:hyperlink>
    </w:p>
    <w:bookmarkEnd w:id="560"/>
    <w:bookmarkStart w:id="562"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561">
        <w:r>
          <w:rPr>
            <w:rStyle w:val="Hyperlink"/>
          </w:rPr>
          <w:t xml:space="preserve">https://doi.org/10.1109/mpe.2021.3088959</w:t>
        </w:r>
      </w:hyperlink>
    </w:p>
    <w:bookmarkEnd w:id="562"/>
    <w:bookmarkStart w:id="564"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563">
        <w:r>
          <w:rPr>
            <w:rStyle w:val="Hyperlink"/>
          </w:rPr>
          <w:t xml:space="preserve">https://doi.org/10.1109/tpwrs.2014.2321793</w:t>
        </w:r>
      </w:hyperlink>
    </w:p>
    <w:bookmarkEnd w:id="564"/>
    <w:bookmarkStart w:id="566"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565">
        <w:r>
          <w:rPr>
            <w:rStyle w:val="Hyperlink"/>
          </w:rPr>
          <w:t xml:space="preserve">https://doi.org/10.1109/tpwrs.2011.2177280</w:t>
        </w:r>
      </w:hyperlink>
    </w:p>
    <w:bookmarkEnd w:id="566"/>
    <w:bookmarkStart w:id="568"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567">
        <w:r>
          <w:rPr>
            <w:rStyle w:val="Hyperlink"/>
          </w:rPr>
          <w:t xml:space="preserve">https://doi.org/10.1109/pesgm.2012.6345375</w:t>
        </w:r>
      </w:hyperlink>
    </w:p>
    <w:bookmarkEnd w:id="568"/>
    <w:bookmarkStart w:id="570"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569">
        <w:r>
          <w:rPr>
            <w:rStyle w:val="Hyperlink"/>
          </w:rPr>
          <w:t xml:space="preserve">https://doi.org/10.2172/1220243</w:t>
        </w:r>
      </w:hyperlink>
    </w:p>
    <w:bookmarkEnd w:id="570"/>
    <w:bookmarkStart w:id="571"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571"/>
    <w:bookmarkStart w:id="573"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572">
        <w:r>
          <w:rPr>
            <w:rStyle w:val="Hyperlink"/>
          </w:rPr>
          <w:t xml:space="preserve">https://doi.org/10.1109/MPE.2021.3072819</w:t>
        </w:r>
      </w:hyperlink>
    </w:p>
    <w:bookmarkEnd w:id="573"/>
    <w:bookmarkStart w:id="575"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574">
        <w:r>
          <w:rPr>
            <w:rStyle w:val="Hyperlink"/>
          </w:rPr>
          <w:t xml:space="preserve">https://doi.org/10.1016/j.enpol.2020.111739</w:t>
        </w:r>
      </w:hyperlink>
    </w:p>
    <w:bookmarkEnd w:id="575"/>
    <w:bookmarkStart w:id="577"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576">
        <w:r>
          <w:rPr>
            <w:rStyle w:val="Hyperlink"/>
          </w:rPr>
          <w:t xml:space="preserve">https://doi.org/10.1109/pesgm41954.2020.9282169</w:t>
        </w:r>
      </w:hyperlink>
    </w:p>
    <w:bookmarkEnd w:id="577"/>
    <w:bookmarkStart w:id="579"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578">
        <w:r>
          <w:rPr>
            <w:rStyle w:val="Hyperlink"/>
          </w:rPr>
          <w:t xml:space="preserve">https://doi.org/10.1016/j.tej.2020.106831</w:t>
        </w:r>
      </w:hyperlink>
    </w:p>
    <w:bookmarkEnd w:id="579"/>
    <w:bookmarkStart w:id="58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580"/>
    <w:bookmarkStart w:id="582"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581">
        <w:r>
          <w:rPr>
            <w:rStyle w:val="Hyperlink"/>
          </w:rPr>
          <w:t xml:space="preserve">https://doi.org/10.1109/mpe.2020.3043570</w:t>
        </w:r>
      </w:hyperlink>
    </w:p>
    <w:bookmarkEnd w:id="582"/>
    <w:bookmarkStart w:id="584"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583">
        <w:r>
          <w:rPr>
            <w:rStyle w:val="Hyperlink"/>
          </w:rPr>
          <w:t xml:space="preserve">https://doi.org/10.1002/0471668826</w:t>
        </w:r>
      </w:hyperlink>
    </w:p>
    <w:bookmarkEnd w:id="584"/>
    <w:bookmarkStart w:id="586"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585">
        <w:r>
          <w:rPr>
            <w:rStyle w:val="Hyperlink"/>
          </w:rPr>
          <w:t xml:space="preserve">https://doi.org/10.1109/mpe.2021.3104075</w:t>
        </w:r>
      </w:hyperlink>
    </w:p>
    <w:bookmarkEnd w:id="586"/>
    <w:bookmarkStart w:id="588" w:name="ref-maysMissingIncentivesFlexibility2021"/>
    <w:p>
      <w:pPr>
        <w:pStyle w:val="Bibliography"/>
      </w:pPr>
      <w:r>
        <w:t xml:space="preserve">Mays, J., 2021. Missing incentives for flexibility in wholesale electricity markets. Energy Policy 149, 112010.</w:t>
      </w:r>
      <w:r>
        <w:t xml:space="preserve"> </w:t>
      </w:r>
      <w:hyperlink r:id="rId587">
        <w:r>
          <w:rPr>
            <w:rStyle w:val="Hyperlink"/>
          </w:rPr>
          <w:t xml:space="preserve">https://doi.org/10.1016/j.enpol.2020.112010</w:t>
        </w:r>
      </w:hyperlink>
    </w:p>
    <w:bookmarkEnd w:id="588"/>
    <w:bookmarkStart w:id="590"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589">
        <w:r>
          <w:rPr>
            <w:rStyle w:val="Hyperlink"/>
          </w:rPr>
          <w:t xml:space="preserve">https://doi.org/10.1016/j.joule.2022.01.004</w:t>
        </w:r>
      </w:hyperlink>
    </w:p>
    <w:bookmarkEnd w:id="590"/>
    <w:bookmarkStart w:id="592"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591">
        <w:r>
          <w:rPr>
            <w:rStyle w:val="Hyperlink"/>
          </w:rPr>
          <w:t xml:space="preserve">https://doi.org/10.1002/wene.399</w:t>
        </w:r>
      </w:hyperlink>
    </w:p>
    <w:bookmarkEnd w:id="592"/>
    <w:bookmarkStart w:id="594"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593">
        <w:r>
          <w:rPr>
            <w:rStyle w:val="Hyperlink"/>
          </w:rPr>
          <w:t xml:space="preserve">https://doi.org/10.23919/pscc.2018.8450880</w:t>
        </w:r>
      </w:hyperlink>
    </w:p>
    <w:bookmarkEnd w:id="594"/>
    <w:bookmarkStart w:id="596" w:name="ref-millerAdvisoryEquipmentLimits2017"/>
    <w:p>
      <w:pPr>
        <w:pStyle w:val="Bibliography"/>
      </w:pPr>
      <w:r>
        <w:t xml:space="preserve">Miller, N., Lew, D., Barnes, S., Ren, W., Reichard, M., Alexander, M., Freeman, L., Achilles, S., Adamiak, M., 2017a.</w:t>
      </w:r>
      <w:r>
        <w:t xml:space="preserve"> </w:t>
      </w:r>
      <w:hyperlink r:id="rId595">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596"/>
    <w:bookmarkStart w:id="597"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597"/>
    <w:bookmarkStart w:id="599"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598">
        <w:r>
          <w:rPr>
            <w:rStyle w:val="Hyperlink"/>
          </w:rPr>
          <w:t xml:space="preserve">https://doi.org/10.1016/j.tej.2011.10.011</w:t>
        </w:r>
      </w:hyperlink>
    </w:p>
    <w:bookmarkEnd w:id="599"/>
    <w:bookmarkStart w:id="600"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600"/>
    <w:bookmarkStart w:id="602"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601">
        <w:r>
          <w:rPr>
            <w:rStyle w:val="Hyperlink"/>
          </w:rPr>
          <w:t xml:space="preserve">https://doi.org/10.1109/tpwrs.2019.2897727</w:t>
        </w:r>
      </w:hyperlink>
    </w:p>
    <w:bookmarkEnd w:id="602"/>
    <w:bookmarkStart w:id="604" w:name="X924f2cb14b06b22bf527e8a066222b69a4c5b25"/>
    <w:p>
      <w:pPr>
        <w:pStyle w:val="Bibliography"/>
      </w:pPr>
      <w:r>
        <w:t xml:space="preserve">Monitoring Analytics, 2021.</w:t>
      </w:r>
      <w:r>
        <w:t xml:space="preserve"> </w:t>
      </w:r>
      <w:hyperlink r:id="rId603">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604"/>
    <w:bookmarkStart w:id="606"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605">
        <w:r>
          <w:rPr>
            <w:rStyle w:val="Hyperlink"/>
          </w:rPr>
          <w:t xml:space="preserve">https://doi.org/10.1016/j.ijepes.2013.09.020</w:t>
        </w:r>
      </w:hyperlink>
    </w:p>
    <w:bookmarkEnd w:id="606"/>
    <w:bookmarkStart w:id="607"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607"/>
    <w:bookmarkStart w:id="609" w:name="ref-nemocommitteeSingleIntradayCoupling"/>
    <w:p>
      <w:pPr>
        <w:pStyle w:val="Bibliography"/>
      </w:pPr>
      <w:r>
        <w:t xml:space="preserve">NEMO Committee, n.d. Single Intraday Coupling (SIDC) [WWW Document]. URL</w:t>
      </w:r>
      <w:r>
        <w:t xml:space="preserve"> </w:t>
      </w:r>
      <w:hyperlink r:id="rId608">
        <w:r>
          <w:rPr>
            <w:rStyle w:val="Hyperlink"/>
          </w:rPr>
          <w:t xml:space="preserve">https://nemo-committee.eu/sidc</w:t>
        </w:r>
      </w:hyperlink>
      <w:r>
        <w:t xml:space="preserve"> </w:t>
      </w:r>
      <w:r>
        <w:t xml:space="preserve">(accessed 1.14.2022).</w:t>
      </w:r>
    </w:p>
    <w:bookmarkEnd w:id="609"/>
    <w:bookmarkStart w:id="61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610"/>
    <w:bookmarkStart w:id="612" w:name="X2d2088817746795390ef3fc2d6e57d520a5b77f"/>
    <w:p>
      <w:pPr>
        <w:pStyle w:val="Bibliography"/>
      </w:pPr>
      <w:r>
        <w:t xml:space="preserve">North American Electric Reliability Corporation, 2022.</w:t>
      </w:r>
      <w:r>
        <w:t xml:space="preserve"> </w:t>
      </w:r>
      <w:hyperlink r:id="rId611">
        <w:r>
          <w:rPr>
            <w:rStyle w:val="Hyperlink"/>
          </w:rPr>
          <w:t xml:space="preserve">2022</w:t>
        </w:r>
        <w:r>
          <w:rPr>
            <w:rStyle w:val="Hyperlink"/>
          </w:rPr>
          <w:t xml:space="preserve"> </w:t>
        </w:r>
        <w:r>
          <w:rPr>
            <w:rStyle w:val="Hyperlink"/>
          </w:rPr>
          <w:t xml:space="preserve">Summer Reliability Assessment</w:t>
        </w:r>
      </w:hyperlink>
      <w:r>
        <w:t xml:space="preserve">.</w:t>
      </w:r>
    </w:p>
    <w:bookmarkEnd w:id="612"/>
    <w:bookmarkStart w:id="614"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613">
        <w:r>
          <w:rPr>
            <w:rStyle w:val="Hyperlink"/>
          </w:rPr>
          <w:t xml:space="preserve">https://doi.org/10.1109/tste.2015.2410760</w:t>
        </w:r>
      </w:hyperlink>
    </w:p>
    <w:bookmarkEnd w:id="614"/>
    <w:bookmarkStart w:id="616"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615">
        <w:r>
          <w:rPr>
            <w:rStyle w:val="Hyperlink"/>
          </w:rPr>
          <w:t xml:space="preserve">https://doi.org/10.1109/eem.2016.7521193</w:t>
        </w:r>
      </w:hyperlink>
    </w:p>
    <w:bookmarkEnd w:id="616"/>
    <w:bookmarkStart w:id="618"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617">
        <w:r>
          <w:rPr>
            <w:rStyle w:val="Hyperlink"/>
          </w:rPr>
          <w:t xml:space="preserve">https://doi.org/10.1016/j.rser.2016.09.040</w:t>
        </w:r>
      </w:hyperlink>
    </w:p>
    <w:bookmarkEnd w:id="618"/>
    <w:bookmarkStart w:id="620"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619">
        <w:r>
          <w:rPr>
            <w:rStyle w:val="Hyperlink"/>
          </w:rPr>
          <w:t xml:space="preserve">https://doi.org/10.1016/j.eneco.2018.05.003</w:t>
        </w:r>
      </w:hyperlink>
    </w:p>
    <w:bookmarkEnd w:id="620"/>
    <w:bookmarkStart w:id="622"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621">
        <w:r>
          <w:rPr>
            <w:rStyle w:val="Hyperlink"/>
          </w:rPr>
          <w:t xml:space="preserve">https://doi.org/10.1109/pmaps47429.2020.9183585</w:t>
        </w:r>
      </w:hyperlink>
    </w:p>
    <w:bookmarkEnd w:id="622"/>
    <w:bookmarkStart w:id="624"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623">
        <w:r>
          <w:rPr>
            <w:rStyle w:val="Hyperlink"/>
          </w:rPr>
          <w:t xml:space="preserve">https://doi.org/10.1016/j.tej.2018.05.012</w:t>
        </w:r>
      </w:hyperlink>
    </w:p>
    <w:bookmarkEnd w:id="624"/>
    <w:bookmarkStart w:id="626"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625">
        <w:r>
          <w:rPr>
            <w:rStyle w:val="Hyperlink"/>
          </w:rPr>
          <w:t xml:space="preserve">https://doi.org/10.1109/TPWRS.2013.2293127</w:t>
        </w:r>
      </w:hyperlink>
    </w:p>
    <w:bookmarkEnd w:id="626"/>
    <w:bookmarkStart w:id="628"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627">
        <w:r>
          <w:rPr>
            <w:rStyle w:val="Hyperlink"/>
          </w:rPr>
          <w:t xml:space="preserve">https://doi.org/10.1016/j.renene.2018.04.094</w:t>
        </w:r>
      </w:hyperlink>
    </w:p>
    <w:bookmarkEnd w:id="628"/>
    <w:bookmarkStart w:id="630"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629">
        <w:r>
          <w:rPr>
            <w:rStyle w:val="Hyperlink"/>
          </w:rPr>
          <w:t xml:space="preserve">https://doi.org/10.1016/j.tej.2020.106863</w:t>
        </w:r>
      </w:hyperlink>
    </w:p>
    <w:bookmarkEnd w:id="630"/>
    <w:bookmarkStart w:id="632"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631">
        <w:r>
          <w:rPr>
            <w:rStyle w:val="Hyperlink"/>
          </w:rPr>
          <w:t xml:space="preserve">https://wattclarity.com.au/articles/2021/12/two-improvements-in-nemde-dispatch/</w:t>
        </w:r>
      </w:hyperlink>
      <w:r>
        <w:t xml:space="preserve"> </w:t>
      </w:r>
      <w:r>
        <w:t xml:space="preserve">(accessed 5.23.2022).</w:t>
      </w:r>
    </w:p>
    <w:bookmarkEnd w:id="632"/>
    <w:bookmarkStart w:id="633"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633"/>
    <w:bookmarkStart w:id="635"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634">
        <w:r>
          <w:rPr>
            <w:rStyle w:val="Hyperlink"/>
          </w:rPr>
          <w:t xml:space="preserve">https://doi.org/10.1016/j.enpol.2018.11.009</w:t>
        </w:r>
      </w:hyperlink>
    </w:p>
    <w:bookmarkEnd w:id="635"/>
    <w:bookmarkStart w:id="637" w:name="ref-prakashNEMSEER2023"/>
    <w:p>
      <w:pPr>
        <w:pStyle w:val="Bibliography"/>
      </w:pPr>
      <w:r>
        <w:t xml:space="preserve">Prakash, A., 2023.</w:t>
      </w:r>
      <w:r>
        <w:t xml:space="preserve"> </w:t>
      </w:r>
      <w:hyperlink r:id="rId636">
        <w:r>
          <w:rPr>
            <w:rStyle w:val="Hyperlink"/>
          </w:rPr>
          <w:t xml:space="preserve">NEMSEER</w:t>
        </w:r>
      </w:hyperlink>
      <w:r>
        <w:t xml:space="preserve">.</w:t>
      </w:r>
    </w:p>
    <w:bookmarkEnd w:id="637"/>
    <w:bookmarkStart w:id="639"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638">
        <w:r>
          <w:rPr>
            <w:rStyle w:val="Hyperlink"/>
          </w:rPr>
          <w:t xml:space="preserve">https://doi.org/10.1016/j.rser.2022.112303</w:t>
        </w:r>
      </w:hyperlink>
    </w:p>
    <w:bookmarkEnd w:id="639"/>
    <w:bookmarkStart w:id="641"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640">
        <w:r>
          <w:rPr>
            <w:rStyle w:val="Hyperlink"/>
          </w:rPr>
          <w:t xml:space="preserve">https://doi.org/10.13140/RG.2.2.11620.50560</w:t>
        </w:r>
      </w:hyperlink>
    </w:p>
    <w:bookmarkEnd w:id="641"/>
    <w:bookmarkStart w:id="643"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642">
        <w:r>
          <w:rPr>
            <w:rStyle w:val="Hyperlink"/>
          </w:rPr>
          <w:t xml:space="preserve">https://doi.org/10.1109/tpwrs.2006.888965</w:t>
        </w:r>
      </w:hyperlink>
    </w:p>
    <w:bookmarkEnd w:id="643"/>
    <w:bookmarkStart w:id="645"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644">
        <w:r>
          <w:rPr>
            <w:rStyle w:val="Hyperlink"/>
          </w:rPr>
          <w:t xml:space="preserve">https://doi.org/10.1109/tpwrs.2006.888963</w:t>
        </w:r>
      </w:hyperlink>
    </w:p>
    <w:bookmarkEnd w:id="645"/>
    <w:bookmarkStart w:id="647"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646">
        <w:r>
          <w:rPr>
            <w:rStyle w:val="Hyperlink"/>
          </w:rPr>
          <w:t xml:space="preserve">https://doi.org/10.1016/j.tej.2007.06.003</w:t>
        </w:r>
      </w:hyperlink>
    </w:p>
    <w:bookmarkEnd w:id="647"/>
    <w:bookmarkStart w:id="649" w:name="X89f15ff5920cde4fed5687ce100c6aeeedd900c"/>
    <w:p>
      <w:pPr>
        <w:pStyle w:val="Bibliography"/>
      </w:pPr>
      <w:r>
        <w:t xml:space="preserve">Redefining Resource Adequacy Task Force, 2021.</w:t>
      </w:r>
      <w:r>
        <w:t xml:space="preserve"> </w:t>
      </w:r>
      <w:hyperlink r:id="rId648">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649"/>
    <w:bookmarkStart w:id="650"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650"/>
    <w:bookmarkStart w:id="652" w:name="X7bf77d71136be2ef42a3439ae3ea29b9ec6613b"/>
    <w:p>
      <w:pPr>
        <w:pStyle w:val="Bibliography"/>
      </w:pPr>
      <w:r>
        <w:t xml:space="preserve">Renewable Energy Hub, 2021.</w:t>
      </w:r>
      <w:r>
        <w:t xml:space="preserve"> </w:t>
      </w:r>
      <w:hyperlink r:id="rId651">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652"/>
    <w:bookmarkStart w:id="654"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653">
        <w:r>
          <w:rPr>
            <w:rStyle w:val="Hyperlink"/>
          </w:rPr>
          <w:t xml:space="preserve">https://doi.org/10.5547/2160-5890.5.1.jrie</w:t>
        </w:r>
      </w:hyperlink>
    </w:p>
    <w:bookmarkEnd w:id="654"/>
    <w:bookmarkStart w:id="656"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655">
        <w:r>
          <w:rPr>
            <w:rStyle w:val="Hyperlink"/>
          </w:rPr>
          <w:t xml:space="preserve">https://doi.org/10.1016/j.tej.2015.03.006</w:t>
        </w:r>
      </w:hyperlink>
    </w:p>
    <w:bookmarkEnd w:id="656"/>
    <w:bookmarkStart w:id="658"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657">
        <w:r>
          <w:rPr>
            <w:rStyle w:val="Hyperlink"/>
          </w:rPr>
          <w:t xml:space="preserve">https://doi.org/10.1002/wene.137</w:t>
        </w:r>
      </w:hyperlink>
    </w:p>
    <w:bookmarkEnd w:id="658"/>
    <w:bookmarkStart w:id="659" w:name="ref-robertsReviewInternationalGrid2018"/>
    <w:p>
      <w:pPr>
        <w:pStyle w:val="Bibliography"/>
      </w:pPr>
      <w:r>
        <w:t xml:space="preserve">Roberts, C., 2018. Review of</w:t>
      </w:r>
      <w:r>
        <w:t xml:space="preserve"> </w:t>
      </w:r>
      <w:r>
        <w:t xml:space="preserve">International Grid Codes</w:t>
      </w:r>
      <w:r>
        <w:t xml:space="preserve">.</w:t>
      </w:r>
    </w:p>
    <w:bookmarkEnd w:id="659"/>
    <w:bookmarkStart w:id="661" w:name="ref-robertsVPPUserResearch2020"/>
    <w:p>
      <w:pPr>
        <w:pStyle w:val="Bibliography"/>
      </w:pPr>
      <w:r>
        <w:t xml:space="preserve">Roberts, M., Adams, S., Kuch, D., 2020.</w:t>
      </w:r>
      <w:r>
        <w:t xml:space="preserve"> </w:t>
      </w:r>
      <w:hyperlink r:id="rId660">
        <w:r>
          <w:rPr>
            <w:rStyle w:val="Hyperlink"/>
          </w:rPr>
          <w:t xml:space="preserve">VPP User Research Final Report</w:t>
        </w:r>
      </w:hyperlink>
      <w:r>
        <w:t xml:space="preserve">.</w:t>
      </w:r>
      <w:r>
        <w:t xml:space="preserve"> </w:t>
      </w:r>
      <w:r>
        <w:t xml:space="preserve">Solar Analytics, UNSW Sydney, UsersTCP</w:t>
      </w:r>
      <w:r>
        <w:t xml:space="preserve">.</w:t>
      </w:r>
    </w:p>
    <w:bookmarkEnd w:id="661"/>
    <w:bookmarkStart w:id="662"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662"/>
    <w:bookmarkStart w:id="664"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663">
        <w:r>
          <w:rPr>
            <w:rStyle w:val="Hyperlink"/>
          </w:rPr>
          <w:t xml:space="preserve">https://doi.org/10.1016/j.jup.2008.01.008</w:t>
        </w:r>
      </w:hyperlink>
    </w:p>
    <w:bookmarkEnd w:id="664"/>
    <w:bookmarkStart w:id="666"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665">
        <w:r>
          <w:rPr>
            <w:rStyle w:val="Hyperlink"/>
          </w:rPr>
          <w:t xml:space="preserve">https://doi.org/10.1109/hicss.2014.304</w:t>
        </w:r>
      </w:hyperlink>
    </w:p>
    <w:bookmarkEnd w:id="666"/>
    <w:bookmarkStart w:id="668"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667">
        <w:r>
          <w:rPr>
            <w:rStyle w:val="Hyperlink"/>
          </w:rPr>
          <w:t xml:space="preserve">https://doi.org/10.3929/ethz-a-010692129</w:t>
        </w:r>
      </w:hyperlink>
    </w:p>
    <w:bookmarkEnd w:id="668"/>
    <w:bookmarkStart w:id="670"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669">
        <w:r>
          <w:rPr>
            <w:rStyle w:val="Hyperlink"/>
          </w:rPr>
          <w:t xml:space="preserve">https://doi.org/10.1016/j.enpol.2013.07.030</w:t>
        </w:r>
      </w:hyperlink>
    </w:p>
    <w:bookmarkEnd w:id="670"/>
    <w:bookmarkStart w:id="672" w:name="Xf4a184150f583a127b538c8ab79b807384ea09e"/>
    <w:p>
      <w:pPr>
        <w:pStyle w:val="Bibliography"/>
      </w:pPr>
      <w:r>
        <w:t xml:space="preserve">Schittekatte, T., Pototschnig, A., 2022. Distributed energy resources and electricity balancing: Visions for future organisation.</w:t>
      </w:r>
      <w:r>
        <w:t xml:space="preserve"> </w:t>
      </w:r>
      <w:hyperlink r:id="rId671">
        <w:r>
          <w:rPr>
            <w:rStyle w:val="Hyperlink"/>
          </w:rPr>
          <w:t xml:space="preserve">https://doi.org/10.13140/RG.2.2.30173.69601</w:t>
        </w:r>
      </w:hyperlink>
    </w:p>
    <w:bookmarkEnd w:id="672"/>
    <w:bookmarkStart w:id="67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673"/>
    <w:bookmarkStart w:id="675"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674">
        <w:r>
          <w:rPr>
            <w:rStyle w:val="Hyperlink"/>
          </w:rPr>
          <w:t xml:space="preserve">https://doi.org/10.1016/j.rser.2022.112228</w:t>
        </w:r>
      </w:hyperlink>
    </w:p>
    <w:bookmarkEnd w:id="675"/>
    <w:bookmarkStart w:id="676"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676"/>
    <w:bookmarkStart w:id="678"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677">
        <w:r>
          <w:rPr>
            <w:rStyle w:val="Hyperlink"/>
          </w:rPr>
          <w:t xml:space="preserve">https://doi.org/10.1016/j.tej.2020.106837</w:t>
        </w:r>
      </w:hyperlink>
    </w:p>
    <w:bookmarkEnd w:id="678"/>
    <w:bookmarkStart w:id="680"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679">
        <w:r>
          <w:rPr>
            <w:rStyle w:val="Hyperlink"/>
          </w:rPr>
          <w:t xml:space="preserve">https://doi.org/10.1109/mpe.2021.3104076</w:t>
        </w:r>
      </w:hyperlink>
    </w:p>
    <w:bookmarkEnd w:id="680"/>
    <w:bookmarkStart w:id="682"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681">
        <w:r>
          <w:rPr>
            <w:rStyle w:val="Hyperlink"/>
          </w:rPr>
          <w:t xml:space="preserve">https://doi.org/10.1109/mpe.2020.3014720</w:t>
        </w:r>
      </w:hyperlink>
    </w:p>
    <w:bookmarkEnd w:id="682"/>
    <w:bookmarkStart w:id="684"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683">
        <w:r>
          <w:rPr>
            <w:rStyle w:val="Hyperlink"/>
          </w:rPr>
          <w:t xml:space="preserve">https://doi.org/10.1016/j.tej.2021.106934</w:t>
        </w:r>
      </w:hyperlink>
    </w:p>
    <w:bookmarkEnd w:id="684"/>
    <w:bookmarkStart w:id="686"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685">
        <w:r>
          <w:rPr>
            <w:rStyle w:val="Hyperlink"/>
          </w:rPr>
          <w:t xml:space="preserve">https://doi.org/10.1109/pes.2007.385855</w:t>
        </w:r>
      </w:hyperlink>
    </w:p>
    <w:bookmarkEnd w:id="686"/>
    <w:bookmarkStart w:id="688"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687">
        <w:r>
          <w:rPr>
            <w:rStyle w:val="Hyperlink"/>
          </w:rPr>
          <w:t xml:space="preserve">https://doi.org/10.1260/030952408784305868</w:t>
        </w:r>
      </w:hyperlink>
    </w:p>
    <w:bookmarkEnd w:id="688"/>
    <w:bookmarkStart w:id="690" w:name="ref-tielensRelevanceInertiaPower2016"/>
    <w:p>
      <w:pPr>
        <w:pStyle w:val="Bibliography"/>
      </w:pPr>
      <w:r>
        <w:t xml:space="preserve">Tielens, P., Van Hertem, D., 2016. The relevance of inertia in power systems. Renewable and Sustainable Energy Reviews 55, 999–1009.</w:t>
      </w:r>
      <w:r>
        <w:t xml:space="preserve"> </w:t>
      </w:r>
      <w:hyperlink r:id="rId689">
        <w:r>
          <w:rPr>
            <w:rStyle w:val="Hyperlink"/>
          </w:rPr>
          <w:t xml:space="preserve">https://doi.org/10.1016/j.rser.2015.11.016</w:t>
        </w:r>
      </w:hyperlink>
    </w:p>
    <w:bookmarkEnd w:id="690"/>
    <w:bookmarkStart w:id="692"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691">
        <w:r>
          <w:rPr>
            <w:rStyle w:val="Hyperlink"/>
          </w:rPr>
          <w:t xml:space="preserve">https://doi.org/10.1016/j.ijepes.2015.02.028</w:t>
        </w:r>
      </w:hyperlink>
    </w:p>
    <w:bookmarkEnd w:id="692"/>
    <w:bookmarkStart w:id="694"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693">
        <w:r>
          <w:rPr>
            <w:rStyle w:val="Hyperlink"/>
          </w:rPr>
          <w:t xml:space="preserve">https://doi.org/10.3182/20140824-6-za-1003.02615</w:t>
        </w:r>
      </w:hyperlink>
    </w:p>
    <w:bookmarkEnd w:id="694"/>
    <w:bookmarkStart w:id="696"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695">
        <w:r>
          <w:rPr>
            <w:rStyle w:val="Hyperlink"/>
          </w:rPr>
          <w:t xml:space="preserve">https://doi.org/10.1016/j.jup.2016.10.008</w:t>
        </w:r>
      </w:hyperlink>
    </w:p>
    <w:bookmarkEnd w:id="696"/>
    <w:bookmarkStart w:id="698"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697">
        <w:r>
          <w:rPr>
            <w:rStyle w:val="Hyperlink"/>
          </w:rPr>
          <w:t xml:space="preserve">https://doi.org/10.1016/j.enpol.2009.07.034</w:t>
        </w:r>
      </w:hyperlink>
    </w:p>
    <w:bookmarkEnd w:id="698"/>
    <w:bookmarkStart w:id="700"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699">
        <w:r>
          <w:rPr>
            <w:rStyle w:val="Hyperlink"/>
          </w:rPr>
          <w:t xml:space="preserve">https://doi.org/10.1016/j.apenergy.2017.08.164</w:t>
        </w:r>
      </w:hyperlink>
    </w:p>
    <w:bookmarkEnd w:id="700"/>
    <w:bookmarkStart w:id="702" w:name="X2b00c878694ff3ec7397269e6cb0693693dd5ff"/>
    <w:p>
      <w:pPr>
        <w:pStyle w:val="Bibliography"/>
      </w:pPr>
      <w:r>
        <w:t xml:space="preserve">Wilson, S., 2020.</w:t>
      </w:r>
      <w:r>
        <w:t xml:space="preserve"> </w:t>
      </w:r>
      <w:hyperlink r:id="rId701">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702"/>
    <w:bookmarkStart w:id="703"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703"/>
    <w:bookmarkStart w:id="705"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704">
        <w:r>
          <w:rPr>
            <w:rStyle w:val="Hyperlink"/>
          </w:rPr>
          <w:t xml:space="preserve">https://doi.org/10.1109/tpwrs.2015.2390038</w:t>
        </w:r>
      </w:hyperlink>
    </w:p>
    <w:bookmarkEnd w:id="705"/>
    <w:bookmarkStart w:id="706"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706"/>
    <w:bookmarkEnd w:id="707"/>
    <w:bookmarkEnd w:id="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2">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5">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30">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8">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8">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2020h</w:t>
        </w:r>
      </w:hyperlink>
      <w:r>
        <w:t xml:space="preserve">)</w:t>
      </w:r>
      <w:r>
        <w:t xml:space="preserve">.</w:t>
      </w:r>
    </w:p>
  </w:footnote>
  <w:footnote w:id="153">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186">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191">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9">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20">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3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3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w:t>
        </w:r>
      </w:hyperlink>
      <w:r>
        <w:t xml:space="preserve">)</w:t>
      </w:r>
      <w:r>
        <w:t xml:space="preserve">.</w:t>
      </w:r>
    </w:p>
  </w:footnote>
  <w:footnote w:id="23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5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66">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276">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134" Target="media/rId134.png" /><Relationship Type="http://schemas.openxmlformats.org/officeDocument/2006/relationships/image" Id="rId154" Target="media/rId154.eps" /><Relationship Type="http://schemas.openxmlformats.org/officeDocument/2006/relationships/image" Id="rId100" Target="media/rId100.png" /><Relationship Type="http://schemas.openxmlformats.org/officeDocument/2006/relationships/image" Id="rId267" Target="media/rId267.png" /><Relationship Type="http://schemas.openxmlformats.org/officeDocument/2006/relationships/image" Id="rId67" Target="media/rId67.png" /><Relationship Type="http://schemas.openxmlformats.org/officeDocument/2006/relationships/image" Id="rId38" Target="media/rId38.png" /><Relationship Type="http://schemas.openxmlformats.org/officeDocument/2006/relationships/image" Id="rId30" Target="media/rId30.pdf" /><Relationship Type="http://schemas.openxmlformats.org/officeDocument/2006/relationships/image" Id="rId162" Target="media/rId162.png" /><Relationship Type="http://schemas.openxmlformats.org/officeDocument/2006/relationships/image" Id="rId169" Target="media/rId169.png" /><Relationship Type="http://schemas.openxmlformats.org/officeDocument/2006/relationships/image" Id="rId62" Target="media/rId62.png" /><Relationship Type="http://schemas.openxmlformats.org/officeDocument/2006/relationships/image" Id="rId109" Target="media/rId109.png" /><Relationship Type="http://schemas.openxmlformats.org/officeDocument/2006/relationships/image" Id="rId232" Target="media/rId232.png" /><Relationship Type="http://schemas.openxmlformats.org/officeDocument/2006/relationships/image" Id="rId165" Target="media/rId165.eps" /><Relationship Type="http://schemas.openxmlformats.org/officeDocument/2006/relationships/image" Id="rId222" Target="media/rId222.png" /><Relationship Type="http://schemas.openxmlformats.org/officeDocument/2006/relationships/image" Id="rId35" Target="media/rId35.pdf" /><Relationship Type="http://schemas.openxmlformats.org/officeDocument/2006/relationships/image" Id="rId193" Target="media/rId193.png" /><Relationship Type="http://schemas.openxmlformats.org/officeDocument/2006/relationships/image" Id="rId158" Target="media/rId158.eps" /><Relationship Type="http://schemas.openxmlformats.org/officeDocument/2006/relationships/image" Id="rId226" Target="media/rId226.png" /><Relationship Type="http://schemas.openxmlformats.org/officeDocument/2006/relationships/image" Id="rId54" Target="media/rId54.png" /><Relationship Type="http://schemas.openxmlformats.org/officeDocument/2006/relationships/image" Id="rId142" Target="media/rId142.eps" /><Relationship Type="http://schemas.openxmlformats.org/officeDocument/2006/relationships/hyperlink" Id="rId298" Target="http://www.aemc.gov.au/energy-system/electricity/electricity-system/electricity-supply-chain" TargetMode="External" /><Relationship Type="http://schemas.openxmlformats.org/officeDocument/2006/relationships/hyperlink" Id="rId337" Target="https://aemo.com.au/-/media/files/electricity/nem/market_notices_and_events/market_event_reports/2022/nem-market-suspension-and-operational-challenges-in-june-2022.pdf?la=en" TargetMode="External" /><Relationship Type="http://schemas.openxmlformats.org/officeDocument/2006/relationships/hyperlink" Id="rId364" Target="https://aemo.com.au/-/media/files/electricity/nem/planning_and_forecasting/inputs-assumptions-methodologies/2020/2020-inputs-and-assumptions-workbook-dec20.xlsx?la=en" TargetMode="External" /><Relationship Type="http://schemas.openxmlformats.org/officeDocument/2006/relationships/hyperlink" Id="rId378" Target="https://aemo.com.au/-/media/files/electricity/nem/planning_and_forecasting/rsig/reliability-standard-implementation-guidelines.pdf?la=en" TargetMode="External" /><Relationship Type="http://schemas.openxmlformats.org/officeDocument/2006/relationships/hyperlink" Id="rId348" Target="https://aemo.com.au/-/media/files/electricity/nem/security_and_reliability/dispatch/policy_and_process/fast-start-unit-inflexibility-profile.pdf" TargetMode="External" /><Relationship Type="http://schemas.openxmlformats.org/officeDocument/2006/relationships/hyperlink" Id="rId361" Target="https://aemo.com.au/-/media/files/electricity/nem/security_and_reliability/power_system_ops/procedures/so_op_3703-short-term-reserve-management.pdf?la=en" TargetMode="External" /><Relationship Type="http://schemas.openxmlformats.org/officeDocument/2006/relationships/hyperlink" Id="rId368" Target="https://aemo.com.au/-/media/files/major-publications/isp/2020/final-2020-isp-generation-outlook.zip?la=en" TargetMode="External" /><Relationship Type="http://schemas.openxmlformats.org/officeDocument/2006/relationships/hyperlink" Id="rId331" Target="https://aemo.com.au/-/media/files/major-publications/isp/2022/2022-documents/2022-integrated-system-plan-isp.pdf?la=en" TargetMode="External" /><Relationship Type="http://schemas.openxmlformats.org/officeDocument/2006/relationships/hyperlink" Id="rId343" Target="https://aemo.com.au/en/initiatives/major-programs/nem-distributed-energy-resources-der-program/operations/der-behaviour-during-disturbances" TargetMode="External" /><Relationship Type="http://schemas.openxmlformats.org/officeDocument/2006/relationships/hyperlink" Id="rId327" Target="https://aemo.com.au/energy-systems/electricity/national-electricity-market-nem/data-nem/market-management-system-mms-data/pre-dispatch" TargetMode="External" /><Relationship Type="http://schemas.openxmlformats.org/officeDocument/2006/relationships/hyperlink" Id="rId335" Target="https://aemo.com.au/energy-systems/electricity/national-electricity-market-nem/nem-forecasting-and-planning/forecasting-and-planning-data/generation-information" TargetMode="External" /><Relationship Type="http://schemas.openxmlformats.org/officeDocument/2006/relationships/hyperlink" Id="rId366" Target="https://aemo.com.au/energy-systems/major-publications/integrated-system-plan-isp/2020-integrated-system-plan-isp" TargetMode="External" /><Relationship Type="http://schemas.openxmlformats.org/officeDocument/2006/relationships/hyperlink" Id="rId386" Target="https://aemo.com.au/energy-systems/major-publications/integrated-system-plan-isp/2020-integrated-system-plan-isp/2019-isp-database" TargetMode="External" /><Relationship Type="http://schemas.openxmlformats.org/officeDocument/2006/relationships/hyperlink" Id="rId333" Target="https://aemo.com.au/initiatives/major-programs/past-major-programs/five-minute-settlement/5ms-program-management/5ms-commencement" TargetMode="External" /><Relationship Type="http://schemas.openxmlformats.org/officeDocument/2006/relationships/hyperlink" Id="rId329" Target="https://aemo.com.au/learn/energy-explained/energy-101/industry-overview" TargetMode="External" /><Relationship Type="http://schemas.openxmlformats.org/officeDocument/2006/relationships/hyperlink" Id="rId651" Target="https://arena.gov.au/assets/2021/04/renewable-energy-hub-final-report.pdf" TargetMode="External" /><Relationship Type="http://schemas.openxmlformats.org/officeDocument/2006/relationships/hyperlink" Id="rId294" Target="https://arena.gov.au/knowledge-bank/large-scale-battery-storage-knowledge-sharing-report/" TargetMode="External" /><Relationship Type="http://schemas.openxmlformats.org/officeDocument/2006/relationships/hyperlink" Id="rId583" Target="https://doi.org/10.1002/0471668826" TargetMode="External" /><Relationship Type="http://schemas.openxmlformats.org/officeDocument/2006/relationships/hyperlink" Id="rId515" Target="https://doi.org/10.1002/2050-7038.12128" TargetMode="External" /><Relationship Type="http://schemas.openxmlformats.org/officeDocument/2006/relationships/hyperlink" Id="rId657" Target="https://doi.org/10.1002/wene.137" TargetMode="External" /><Relationship Type="http://schemas.openxmlformats.org/officeDocument/2006/relationships/hyperlink" Id="rId591" Target="https://doi.org/10.1002/wene.399" TargetMode="External" /><Relationship Type="http://schemas.openxmlformats.org/officeDocument/2006/relationships/hyperlink" Id="rId455" Target="https://doi.org/10.1007/s11149-021-09430-7" TargetMode="External" /><Relationship Type="http://schemas.openxmlformats.org/officeDocument/2006/relationships/hyperlink" Id="rId699" Target="https://doi.org/10.1016/j.apenergy.2017.08.164" TargetMode="External" /><Relationship Type="http://schemas.openxmlformats.org/officeDocument/2006/relationships/hyperlink" Id="rId517" Target="https://doi.org/10.1016/j.apenergy.2020.115852" TargetMode="External" /><Relationship Type="http://schemas.openxmlformats.org/officeDocument/2006/relationships/hyperlink" Id="rId619" Target="https://doi.org/10.1016/j.eneco.2018.05.003" TargetMode="External" /><Relationship Type="http://schemas.openxmlformats.org/officeDocument/2006/relationships/hyperlink" Id="rId542" Target="https://doi.org/10.1016/j.enpol.2008.06.033" TargetMode="External" /><Relationship Type="http://schemas.openxmlformats.org/officeDocument/2006/relationships/hyperlink" Id="rId697" Target="https://doi.org/10.1016/j.enpol.2009.07.034" TargetMode="External" /><Relationship Type="http://schemas.openxmlformats.org/officeDocument/2006/relationships/hyperlink" Id="rId669" Target="https://doi.org/10.1016/j.enpol.2013.07.030" TargetMode="External" /><Relationship Type="http://schemas.openxmlformats.org/officeDocument/2006/relationships/hyperlink" Id="rId445" Target="https://doi.org/10.1016/j.enpol.2018.01.023" TargetMode="External" /><Relationship Type="http://schemas.openxmlformats.org/officeDocument/2006/relationships/hyperlink" Id="rId439" Target="https://doi.org/10.1016/j.enpol.2018.09.031" TargetMode="External" /><Relationship Type="http://schemas.openxmlformats.org/officeDocument/2006/relationships/hyperlink" Id="rId634" Target="https://doi.org/10.1016/j.enpol.2018.11.009" TargetMode="External" /><Relationship Type="http://schemas.openxmlformats.org/officeDocument/2006/relationships/hyperlink" Id="rId574" Target="https://doi.org/10.1016/j.enpol.2020.111739" TargetMode="External" /><Relationship Type="http://schemas.openxmlformats.org/officeDocument/2006/relationships/hyperlink" Id="rId587" Target="https://doi.org/10.1016/j.enpol.2020.112010" TargetMode="External" /><Relationship Type="http://schemas.openxmlformats.org/officeDocument/2006/relationships/hyperlink" Id="rId497" Target="https://doi.org/10.1016/j.enpol.2021.112443" TargetMode="External" /><Relationship Type="http://schemas.openxmlformats.org/officeDocument/2006/relationships/hyperlink" Id="rId443" Target="https://doi.org/10.1016/j.epsr.2021.107022" TargetMode="External" /><Relationship Type="http://schemas.openxmlformats.org/officeDocument/2006/relationships/hyperlink" Id="rId605" Target="https://doi.org/10.1016/j.ijepes.2013.09.020" TargetMode="External" /><Relationship Type="http://schemas.openxmlformats.org/officeDocument/2006/relationships/hyperlink" Id="rId691" Target="https://doi.org/10.1016/j.ijepes.2015.02.028" TargetMode="External" /><Relationship Type="http://schemas.openxmlformats.org/officeDocument/2006/relationships/hyperlink" Id="rId499" Target="https://doi.org/10.1016/j.joule.2021.03.021" TargetMode="External" /><Relationship Type="http://schemas.openxmlformats.org/officeDocument/2006/relationships/hyperlink" Id="rId589" Target="https://doi.org/10.1016/j.joule.2022.01.004" TargetMode="External" /><Relationship Type="http://schemas.openxmlformats.org/officeDocument/2006/relationships/hyperlink" Id="rId663" Target="https://doi.org/10.1016/j.jup.2008.01.008" TargetMode="External" /><Relationship Type="http://schemas.openxmlformats.org/officeDocument/2006/relationships/hyperlink" Id="rId695" Target="https://doi.org/10.1016/j.jup.2016.10.008" TargetMode="External" /><Relationship Type="http://schemas.openxmlformats.org/officeDocument/2006/relationships/hyperlink" Id="rId627" Target="https://doi.org/10.1016/j.renene.2018.04.094" TargetMode="External" /><Relationship Type="http://schemas.openxmlformats.org/officeDocument/2006/relationships/hyperlink" Id="rId545" Target="https://doi.org/10.1016/j.renene.2020.11.090" TargetMode="External" /><Relationship Type="http://schemas.openxmlformats.org/officeDocument/2006/relationships/hyperlink" Id="rId520" Target="https://doi.org/10.1016/j.rser.2015.04.180" TargetMode="External" /><Relationship Type="http://schemas.openxmlformats.org/officeDocument/2006/relationships/hyperlink" Id="rId689" Target="https://doi.org/10.1016/j.rser.2015.11.016" TargetMode="External" /><Relationship Type="http://schemas.openxmlformats.org/officeDocument/2006/relationships/hyperlink" Id="rId617" Target="https://doi.org/10.1016/j.rser.2016.09.040" TargetMode="External" /><Relationship Type="http://schemas.openxmlformats.org/officeDocument/2006/relationships/hyperlink" Id="rId506" Target="https://doi.org/10.1016/j.rser.2017.05.278" TargetMode="External" /><Relationship Type="http://schemas.openxmlformats.org/officeDocument/2006/relationships/hyperlink" Id="rId420" Target="https://doi.org/10.1016/j.rser.2018.03.085" TargetMode="External" /><Relationship Type="http://schemas.openxmlformats.org/officeDocument/2006/relationships/hyperlink" Id="rId495" Target="https://doi.org/10.1016/j.rser.2019.109662" TargetMode="External" /><Relationship Type="http://schemas.openxmlformats.org/officeDocument/2006/relationships/hyperlink" Id="rId559" Target="https://doi.org/10.1016/j.rser.2020.110467" TargetMode="External" /><Relationship Type="http://schemas.openxmlformats.org/officeDocument/2006/relationships/hyperlink" Id="rId674" Target="https://doi.org/10.1016/j.rser.2022.112228" TargetMode="External" /><Relationship Type="http://schemas.openxmlformats.org/officeDocument/2006/relationships/hyperlink" Id="rId638" Target="https://doi.org/10.1016/j.rser.2022.112303" TargetMode="External" /><Relationship Type="http://schemas.openxmlformats.org/officeDocument/2006/relationships/hyperlink" Id="rId437" Target="https://doi.org/10.1016/j.seta.2021.101286" TargetMode="External" /><Relationship Type="http://schemas.openxmlformats.org/officeDocument/2006/relationships/hyperlink" Id="rId547" Target="https://doi.org/10.1016/j.solener.2020.05.053" TargetMode="External" /><Relationship Type="http://schemas.openxmlformats.org/officeDocument/2006/relationships/hyperlink" Id="rId534" Target="https://doi.org/10.1016/j.tej.2004.03.001" TargetMode="External" /><Relationship Type="http://schemas.openxmlformats.org/officeDocument/2006/relationships/hyperlink" Id="rId646" Target="https://doi.org/10.1016/j.tej.2007.06.003" TargetMode="External" /><Relationship Type="http://schemas.openxmlformats.org/officeDocument/2006/relationships/hyperlink" Id="rId598" Target="https://doi.org/10.1016/j.tej.2011.10.011" TargetMode="External" /><Relationship Type="http://schemas.openxmlformats.org/officeDocument/2006/relationships/hyperlink" Id="rId469" Target="https://doi.org/10.1016/j.tej.2012.04.015" TargetMode="External" /><Relationship Type="http://schemas.openxmlformats.org/officeDocument/2006/relationships/hyperlink" Id="rId655" Target="https://doi.org/10.1016/j.tej.2015.03.006" TargetMode="External" /><Relationship Type="http://schemas.openxmlformats.org/officeDocument/2006/relationships/hyperlink" Id="rId461" Target="https://doi.org/10.1016/j.tej.2016.05.001" TargetMode="External" /><Relationship Type="http://schemas.openxmlformats.org/officeDocument/2006/relationships/hyperlink" Id="rId531" Target="https://doi.org/10.1016/j.tej.2017.01.009" TargetMode="External" /><Relationship Type="http://schemas.openxmlformats.org/officeDocument/2006/relationships/hyperlink" Id="rId623" Target="https://doi.org/10.1016/j.tej.2018.05.012" TargetMode="External" /><Relationship Type="http://schemas.openxmlformats.org/officeDocument/2006/relationships/hyperlink" Id="rId426" Target="https://doi.org/10.1016/j.tej.2019.106668" TargetMode="External" /><Relationship Type="http://schemas.openxmlformats.org/officeDocument/2006/relationships/hyperlink" Id="rId578" Target="https://doi.org/10.1016/j.tej.2020.106831" TargetMode="External" /><Relationship Type="http://schemas.openxmlformats.org/officeDocument/2006/relationships/hyperlink" Id="rId677" Target="https://doi.org/10.1016/j.tej.2020.106837" TargetMode="External" /><Relationship Type="http://schemas.openxmlformats.org/officeDocument/2006/relationships/hyperlink" Id="rId629" Target="https://doi.org/10.1016/j.tej.2020.106863" TargetMode="External" /><Relationship Type="http://schemas.openxmlformats.org/officeDocument/2006/relationships/hyperlink" Id="rId683" Target="https://doi.org/10.1016/j.tej.2021.106934" TargetMode="External" /><Relationship Type="http://schemas.openxmlformats.org/officeDocument/2006/relationships/hyperlink" Id="rId451" Target="https://doi.org/10.1049/iet-gtd.2013.0720" TargetMode="External" /><Relationship Type="http://schemas.openxmlformats.org/officeDocument/2006/relationships/hyperlink" Id="rId483" Target="https://doi.org/10.1049/iet-rpg.2017.0370" TargetMode="External" /><Relationship Type="http://schemas.openxmlformats.org/officeDocument/2006/relationships/hyperlink" Id="rId513" Target="https://doi.org/10.1080/23251042.2016.1155690" TargetMode="External" /><Relationship Type="http://schemas.openxmlformats.org/officeDocument/2006/relationships/hyperlink" Id="rId441" Target="https://doi.org/10.1093/ooenergy/oiab007" TargetMode="External" /><Relationship Type="http://schemas.openxmlformats.org/officeDocument/2006/relationships/hyperlink" Id="rId435" Target="https://doi.org/10.1093/oxrep/grx041" TargetMode="External" /><Relationship Type="http://schemas.openxmlformats.org/officeDocument/2006/relationships/hyperlink" Id="rId551" Target="https://doi.org/10.1109/MPE.2016.2524964" TargetMode="External" /><Relationship Type="http://schemas.openxmlformats.org/officeDocument/2006/relationships/hyperlink" Id="rId572" Target="https://doi.org/10.1109/MPE.2021.3072819" TargetMode="External" /><Relationship Type="http://schemas.openxmlformats.org/officeDocument/2006/relationships/hyperlink" Id="rId453" Target="https://doi.org/10.1109/MPE.2021.3088958" TargetMode="External" /><Relationship Type="http://schemas.openxmlformats.org/officeDocument/2006/relationships/hyperlink" Id="rId625" Target="https://doi.org/10.1109/TPWRS.2013.2293127" TargetMode="External" /><Relationship Type="http://schemas.openxmlformats.org/officeDocument/2006/relationships/hyperlink" Id="rId422" Target="https://doi.org/10.1109/TPWRS.2019.2925557" TargetMode="External" /><Relationship Type="http://schemas.openxmlformats.org/officeDocument/2006/relationships/hyperlink" Id="rId433" Target="https://doi.org/10.1109/TPWRS.2022.3163106" TargetMode="External" /><Relationship Type="http://schemas.openxmlformats.org/officeDocument/2006/relationships/hyperlink" Id="rId615" Target="https://doi.org/10.1109/eem.2016.7521193" TargetMode="External" /><Relationship Type="http://schemas.openxmlformats.org/officeDocument/2006/relationships/hyperlink" Id="rId665" Target="https://doi.org/10.1109/hicss.2014.304" TargetMode="External" /><Relationship Type="http://schemas.openxmlformats.org/officeDocument/2006/relationships/hyperlink" Id="rId430" Target="https://doi.org/10.1109/jproc.2005.857493" TargetMode="External" /><Relationship Type="http://schemas.openxmlformats.org/officeDocument/2006/relationships/hyperlink" Id="rId553" Target="https://doi.org/10.1109/mpe.2016.2637122" TargetMode="External" /><Relationship Type="http://schemas.openxmlformats.org/officeDocument/2006/relationships/hyperlink" Id="rId522" Target="https://doi.org/10.1109/mpe.2018.2871736" TargetMode="External" /><Relationship Type="http://schemas.openxmlformats.org/officeDocument/2006/relationships/hyperlink" Id="rId467" Target="https://doi.org/10.1109/mpe.2019.2933281" TargetMode="External" /><Relationship Type="http://schemas.openxmlformats.org/officeDocument/2006/relationships/hyperlink" Id="rId681" Target="https://doi.org/10.1109/mpe.2020.3014720" TargetMode="External" /><Relationship Type="http://schemas.openxmlformats.org/officeDocument/2006/relationships/hyperlink" Id="rId465" Target="https://doi.org/10.1109/mpe.2020.3033396" TargetMode="External" /><Relationship Type="http://schemas.openxmlformats.org/officeDocument/2006/relationships/hyperlink" Id="rId581" Target="https://doi.org/10.1109/mpe.2020.3043570" TargetMode="External" /><Relationship Type="http://schemas.openxmlformats.org/officeDocument/2006/relationships/hyperlink" Id="rId561" Target="https://doi.org/10.1109/mpe.2021.3088959" TargetMode="External" /><Relationship Type="http://schemas.openxmlformats.org/officeDocument/2006/relationships/hyperlink" Id="rId585" Target="https://doi.org/10.1109/mpe.2021.3104075" TargetMode="External" /><Relationship Type="http://schemas.openxmlformats.org/officeDocument/2006/relationships/hyperlink" Id="rId679" Target="https://doi.org/10.1109/mpe.2021.3104076" TargetMode="External" /><Relationship Type="http://schemas.openxmlformats.org/officeDocument/2006/relationships/hyperlink" Id="rId685" Target="https://doi.org/10.1109/pes.2007.385855" TargetMode="External" /><Relationship Type="http://schemas.openxmlformats.org/officeDocument/2006/relationships/hyperlink" Id="rId459" Target="https://doi.org/10.1109/pesgm.2012.6345361" TargetMode="External" /><Relationship Type="http://schemas.openxmlformats.org/officeDocument/2006/relationships/hyperlink" Id="rId567" Target="https://doi.org/10.1109/pesgm.2012.6345375" TargetMode="External" /><Relationship Type="http://schemas.openxmlformats.org/officeDocument/2006/relationships/hyperlink" Id="rId576" Target="https://doi.org/10.1109/pesgm41954.2020.9282169" TargetMode="External" /><Relationship Type="http://schemas.openxmlformats.org/officeDocument/2006/relationships/hyperlink" Id="rId527" Target="https://doi.org/10.1109/pesmg.2013.6673067" TargetMode="External" /><Relationship Type="http://schemas.openxmlformats.org/officeDocument/2006/relationships/hyperlink" Id="rId621" Target="https://doi.org/10.1109/pmaps47429.2020.9183585" TargetMode="External" /><Relationship Type="http://schemas.openxmlformats.org/officeDocument/2006/relationships/hyperlink" Id="rId644" Target="https://doi.org/10.1109/tpwrs.2006.888963" TargetMode="External" /><Relationship Type="http://schemas.openxmlformats.org/officeDocument/2006/relationships/hyperlink" Id="rId642" Target="https://doi.org/10.1109/tpwrs.2006.888965" TargetMode="External" /><Relationship Type="http://schemas.openxmlformats.org/officeDocument/2006/relationships/hyperlink" Id="rId565" Target="https://doi.org/10.1109/tpwrs.2011.2177280" TargetMode="External" /><Relationship Type="http://schemas.openxmlformats.org/officeDocument/2006/relationships/hyperlink" Id="rId563" Target="https://doi.org/10.1109/tpwrs.2014.2321793" TargetMode="External" /><Relationship Type="http://schemas.openxmlformats.org/officeDocument/2006/relationships/hyperlink" Id="rId704" Target="https://doi.org/10.1109/tpwrs.2015.2390038" TargetMode="External" /><Relationship Type="http://schemas.openxmlformats.org/officeDocument/2006/relationships/hyperlink" Id="rId601" Target="https://doi.org/10.1109/tpwrs.2019.2897727" TargetMode="External" /><Relationship Type="http://schemas.openxmlformats.org/officeDocument/2006/relationships/hyperlink" Id="rId613" Target="https://doi.org/10.1109/tste.2015.2410760" TargetMode="External" /><Relationship Type="http://schemas.openxmlformats.org/officeDocument/2006/relationships/hyperlink" Id="rId687" Target="https://doi.org/10.1260/030952408784305868" TargetMode="External" /><Relationship Type="http://schemas.openxmlformats.org/officeDocument/2006/relationships/hyperlink" Id="rId640" Target="https://doi.org/10.13140/RG.2.2.11620.50560" TargetMode="External" /><Relationship Type="http://schemas.openxmlformats.org/officeDocument/2006/relationships/hyperlink" Id="rId671" Target="https://doi.org/10.13140/RG.2.2.30173.69601" TargetMode="External" /><Relationship Type="http://schemas.openxmlformats.org/officeDocument/2006/relationships/hyperlink" Id="rId511" Target="https://doi.org/10.17775/cseejpes.2019.00230" TargetMode="External" /><Relationship Type="http://schemas.openxmlformats.org/officeDocument/2006/relationships/hyperlink" Id="rId288" Target="https://doi.org/10.2139/ssrn.3302569" TargetMode="External" /><Relationship Type="http://schemas.openxmlformats.org/officeDocument/2006/relationships/hyperlink" Id="rId463" Target="https://doi.org/10.2172/1023095" TargetMode="External" /><Relationship Type="http://schemas.openxmlformats.org/officeDocument/2006/relationships/hyperlink" Id="rId557" Target="https://doi.org/10.2172/1046269" TargetMode="External" /><Relationship Type="http://schemas.openxmlformats.org/officeDocument/2006/relationships/hyperlink" Id="rId569" Target="https://doi.org/10.2172/1220243" TargetMode="External" /><Relationship Type="http://schemas.openxmlformats.org/officeDocument/2006/relationships/hyperlink" Id="rId593" Target="https://doi.org/10.23919/pscc.2018.8450880" TargetMode="External" /><Relationship Type="http://schemas.openxmlformats.org/officeDocument/2006/relationships/hyperlink" Id="rId424" Target="https://doi.org/10.26889/9781784671600" TargetMode="External" /><Relationship Type="http://schemas.openxmlformats.org/officeDocument/2006/relationships/hyperlink" Id="rId693" Target="https://doi.org/10.3182/20140824-6-za-1003.02615" TargetMode="External" /><Relationship Type="http://schemas.openxmlformats.org/officeDocument/2006/relationships/hyperlink" Id="rId667" Target="https://doi.org/10.3929/ethz-a-010692129" TargetMode="External" /><Relationship Type="http://schemas.openxmlformats.org/officeDocument/2006/relationships/hyperlink" Id="rId286" Target="https://doi.org/10.4233/uuid:71f7138f-3af2-4bc3-b035-a3e42b3cafaf" TargetMode="External" /><Relationship Type="http://schemas.openxmlformats.org/officeDocument/2006/relationships/hyperlink" Id="rId636" Target="https://doi.org/10.5281/zenodo.7397514" TargetMode="External" /><Relationship Type="http://schemas.openxmlformats.org/officeDocument/2006/relationships/hyperlink" Id="rId524" Target="https://doi.org/10.5547/2160-5890.2.2.4" TargetMode="External" /><Relationship Type="http://schemas.openxmlformats.org/officeDocument/2006/relationships/hyperlink" Id="rId653" Target="https://doi.org/10.5547/2160-5890.5.1.jrie" TargetMode="External" /><Relationship Type="http://schemas.openxmlformats.org/officeDocument/2006/relationships/hyperlink" Id="rId428" Target="https://e-cigre.org/publication/SESSION2020_C2-C6-322" TargetMode="External" /><Relationship Type="http://schemas.openxmlformats.org/officeDocument/2006/relationships/hyperlink" Id="rId487" Target="https://eur-lex.europa.eu/legal-content/EN/TXT/?uri=uriserv:OJ.L_.2017.312.01.0006.01.ENG&amp;toc=OJ:L:2017:312:TOC#d1e4442-6-1" TargetMode="External" /><Relationship Type="http://schemas.openxmlformats.org/officeDocument/2006/relationships/hyperlink" Id="rId540" Target="https://iea.blob.core.windows.net/assets/00dd2818-65f1-426c-8756-9cc0409d89a8/Status_of_Power_System_Transformation_2019.pdf" TargetMode="External" /><Relationship Type="http://schemas.openxmlformats.org/officeDocument/2006/relationships/hyperlink" Id="rId538" Target="https://iea.blob.core.windows.net/assets/deebef5d-0c34-4539-9d0c-10b13d840027/NetZeroby2050-ARoadmapfortheGlobalEnergySector_CORR.pdf" TargetMode="External" /><Relationship Type="http://schemas.openxmlformats.org/officeDocument/2006/relationships/hyperlink" Id="rId555" Target="https://ieefa.org/wp-content/uploads/2022/03/What-Is-the-State-of-Virtual-Power-Plants-in-Australia_March-2022_2.pdf" TargetMode="External" /><Relationship Type="http://schemas.openxmlformats.org/officeDocument/2006/relationships/hyperlink" Id="rId608" Target="https://nemo-committee.eu/sidc" TargetMode="External" /><Relationship Type="http://schemas.openxmlformats.org/officeDocument/2006/relationships/hyperlink" Id="rId418" Target="https://pv-map.apvi.org.au" TargetMode="External" /><Relationship Type="http://schemas.openxmlformats.org/officeDocument/2006/relationships/hyperlink" Id="rId631" Target="https://wattclarity.com.au/articles/2021/12/two-improvements-in-nemde-dispatch/" TargetMode="External" /><Relationship Type="http://schemas.openxmlformats.org/officeDocument/2006/relationships/hyperlink" Id="rId300" Target="https://www.aemc.gov.au/energy-system/electricity/electricity-system/NEM" TargetMode="External" /><Relationship Type="http://schemas.openxmlformats.org/officeDocument/2006/relationships/hyperlink" Id="rId308" Target="https://www.aemc.gov.au/news-centre/data-portal/annual-market-performance-review/2020" TargetMode="External" /><Relationship Type="http://schemas.openxmlformats.org/officeDocument/2006/relationships/hyperlink" Id="rId394" Target="https://www.aemc.gov.au/sites/default/files/2018-03/Advice from AEMO - Primary frequency control.PDF" TargetMode="External" /><Relationship Type="http://schemas.openxmlformats.org/officeDocument/2006/relationships/hyperlink" Id="rId529" Target="https://www.aemc.gov.au/sites/default/files/2019-11/Rule Change SubmissionERC0274 - TasNetworks - 20191031.PDF" TargetMode="External" /><Relationship Type="http://schemas.openxmlformats.org/officeDocument/2006/relationships/hyperlink" Id="rId324" Target="https://www.aemc.gov.au/sites/default/files/2020-08/Updated%20Amended%20Panel%20RERT%20Guidelines%20-%2018%20August%202020%20-%20Final%20for%20publication_0.pdf" TargetMode="External" /><Relationship Type="http://schemas.openxmlformats.org/officeDocument/2006/relationships/hyperlink" Id="rId306" Target="https://www.aemc.gov.au/sites/default/files/2021-01/Reserve%20services%20directions%20paper%20-%205.01.2021%20-%20FINAL.pdf" TargetMode="External" /><Relationship Type="http://schemas.openxmlformats.org/officeDocument/2006/relationships/hyperlink" Id="rId302" Target="https://www.aemc.gov.au/sites/default/files/2022-05/ERC0332%20-%20Updating%20Short%20Term%20PASA%20-%20Final%20determination.pdf" TargetMode="External" /><Relationship Type="http://schemas.openxmlformats.org/officeDocument/2006/relationships/hyperlink" Id="rId322" Target="https://www.aemc.gov.au/sites/default/files/2022-09/2022%20RSS%20Review%20Final%20Report%20%281%29.pdf" TargetMode="External" /><Relationship Type="http://schemas.openxmlformats.org/officeDocument/2006/relationships/hyperlink" Id="rId316" Target="https://www.aemc.gov.au/sites/default/files/content/0bcaf68c-8449-4ce0-aaa6-da223ca6e01c/Final-Determination-ERC0203-Non-scheduled-generation-and-load.pdf" TargetMode="External" /><Relationship Type="http://schemas.openxmlformats.org/officeDocument/2006/relationships/hyperlink" Id="rId318" Target="https://www.aemc.gov.au/sites/default/files/content/68cb8114-113d-4d96-91dc-5cb4b0f9e0ae/ERC0186-DRM-and-ASU-Final-rule-determination-FINAL.PDF" TargetMode="External" /><Relationship Type="http://schemas.openxmlformats.org/officeDocument/2006/relationships/hyperlink" Id="rId320" Target="https://www.aemc.gov.au/sites/default/files/content/815f277c-a015-47d0-bc13-ce3d5faaf96d/Final-Determination.pdf" TargetMode="External" /><Relationship Type="http://schemas.openxmlformats.org/officeDocument/2006/relationships/hyperlink" Id="rId312" Target="https://www.aemc.gov.au/sites/default/files/documents/final_determination_-_short_term_forward_market_-_clean.pdf" TargetMode="External" /><Relationship Type="http://schemas.openxmlformats.org/officeDocument/2006/relationships/hyperlink" Id="rId501" Target="https://www.aemo.com.au/-/media/Files/Electricity/NEM/Planning_and_Forecasting/Inputs-Assumptions-Methodologies/2019/GHD-AEMO-revised---2018-19-Costs_and_Technical_Parameter.xlsb" TargetMode="External" /><Relationship Type="http://schemas.openxmlformats.org/officeDocument/2006/relationships/hyperlink" Id="rId595" Target="https://www.aemo.com.au/-/media/Files/Electricity/NEM/Security_and_Reliability/Reports/2017/20170904-GE-RoCoF-Advisory" TargetMode="External" /><Relationship Type="http://schemas.openxmlformats.org/officeDocument/2006/relationships/hyperlink" Id="rId37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409" Target="https://www.aemo.com.au/-/media/files/electricity/nem/planning_and_forecasting/pasa/stpasa-process-description.pdf" TargetMode="External" /><Relationship Type="http://schemas.openxmlformats.org/officeDocument/2006/relationships/hyperlink" Id="rId339" Target="https://www.aemo.com.au/-/media/files/electricity/nem/security_and_reliability/congestion-information/transfer-limit-advice-system-strength.pdf?la=en" TargetMode="External" /><Relationship Type="http://schemas.openxmlformats.org/officeDocument/2006/relationships/hyperlink" Id="rId357" Target="https://www.aemo.com.au/-/media/files/electricity/nem/security_and_reliability/dispatch/policy_and_process/pre-dispatch-sensitivities.pdf" TargetMode="External" /><Relationship Type="http://schemas.openxmlformats.org/officeDocument/2006/relationships/hyperlink" Id="rId353" Target="https://www.aemo.com.au/-/media/files/electricity/nem/security_and_reliability/power_system_ops/consumer-fact-sheet.pdf" TargetMode="External" /><Relationship Type="http://schemas.openxmlformats.org/officeDocument/2006/relationships/hyperlink" Id="rId355" Target="https://www.aemo.com.au/-/media/files/electricity/nem/security_and_reliability/power_system_ops/procedures/so_op_3704-predispatch.pdf?la=en" TargetMode="External" /><Relationship Type="http://schemas.openxmlformats.org/officeDocument/2006/relationships/hyperlink" Id="rId400" Target="https://www.aemo.com.au/-/media/files/electricity/nem/security_and_reliability/power_system_ops/reserve-level-declaration-guidelines.pdf?la=en" TargetMode="External" /><Relationship Type="http://schemas.openxmlformats.org/officeDocument/2006/relationships/hyperlink" Id="rId384" Target="https://www.aemo.com.au/-/media/files/initiatives/submissions/2020/wdrm/wdrm-high-level-design-june-2020.pdf" TargetMode="External" /><Relationship Type="http://schemas.openxmlformats.org/officeDocument/2006/relationships/hyperlink" Id="rId416" Target="https://www.aer.gov.au/system/files/AER%20-%20Values%20of%20Customer%20Reliability%20Review%20-%20Final%20Report%20-%20December%202019.pdf" TargetMode="External" /><Relationship Type="http://schemas.openxmlformats.org/officeDocument/2006/relationships/hyperlink" Id="rId412" Target="https://www.aer.gov.au/system/files/State%20of%20the%20energy%20market%202022%20-%20Full%20report.pdf" TargetMode="External" /><Relationship Type="http://schemas.openxmlformats.org/officeDocument/2006/relationships/hyperlink" Id="rId292" Target="https://www.asxenergy.com.au/products/electricity_futures" TargetMode="External" /><Relationship Type="http://schemas.openxmlformats.org/officeDocument/2006/relationships/hyperlink" Id="rId660" Target="https://www.ceem.unsw.edu.au/sites/default/files/uploads/publications/VPP%20User%20Research%20-%20Final%20Report%20-%2020201127r.pdf" TargetMode="External" /><Relationship Type="http://schemas.openxmlformats.org/officeDocument/2006/relationships/hyperlink" Id="rId473" Target="https://www.climatechangeinaustralia.gov.au/media/ccia/2.2/cms_page_media/799/ESCI%20Project%20final%20report_210721.pdf" TargetMode="External" /><Relationship Type="http://schemas.openxmlformats.org/officeDocument/2006/relationships/hyperlink" Id="rId296" Target="https://www.electranet.com.au/wp-content/uploads/projects/2016/11/508986-REP-ElectraNet-Generator-Technical-And-Cost-Parameters-23July2020.pdf" TargetMode="External" /><Relationship Type="http://schemas.openxmlformats.org/officeDocument/2006/relationships/hyperlink" Id="rId475" Target="https://www.energyexemplar.com/plexos" TargetMode="External" /><Relationship Type="http://schemas.openxmlformats.org/officeDocument/2006/relationships/hyperlink" Id="rId481" Target="https://www.epexspot.com/en/marketcoupling" TargetMode="External" /><Relationship Type="http://schemas.openxmlformats.org/officeDocument/2006/relationships/hyperlink" Id="rId457" Target="https://www.epri.com/research/products/000000003002015670" TargetMode="External" /><Relationship Type="http://schemas.openxmlformats.org/officeDocument/2006/relationships/hyperlink" Id="rId504" Target="https://www.esig.energy/download/plenary-1-grid-physics-and-markets-a-non-engineers-perspective-eric-gimon/" TargetMode="External" /><Relationship Type="http://schemas.openxmlformats.org/officeDocument/2006/relationships/hyperlink" Id="rId648" Target="https://www.esig.energy/wp-content/uploads/2021/08/ESIG-Redefining-Resource-Adequacy-2021.pdf" TargetMode="External" /><Relationship Type="http://schemas.openxmlformats.org/officeDocument/2006/relationships/hyperlink" Id="rId492" Target="https://www.ferc.gov/news-events/news/ferc-staff-issues-report-energy-and-ancillary-services-market-reforms-address" TargetMode="External" /><Relationship Type="http://schemas.openxmlformats.org/officeDocument/2006/relationships/hyperlink" Id="rId536" Target="https://www.ibm.com/au-en/analytics/cplex-optimizer" TargetMode="External" /><Relationship Type="http://schemas.openxmlformats.org/officeDocument/2006/relationships/hyperlink" Id="rId603" Target="https://www.monitoringanalytics.com/reports/PJM_State_of_the_Market/2021.shtml" TargetMode="External" /><Relationship Type="http://schemas.openxmlformats.org/officeDocument/2006/relationships/hyperlink" Id="rId611" Target="https://www.nerc.com/pa/RAPA/ra/Reliability%20Assessments%20DL/NERC_SRA_2022.pdf" TargetMode="External" /><Relationship Type="http://schemas.openxmlformats.org/officeDocument/2006/relationships/hyperlink" Id="rId471" Target="https://www.projectenergyconnect.com.au/index.html" TargetMode="External" /><Relationship Type="http://schemas.openxmlformats.org/officeDocument/2006/relationships/hyperlink" Id="rId508" Target="https://www.researchgate.net/publication/329798805" TargetMode="External" /><Relationship Type="http://schemas.openxmlformats.org/officeDocument/2006/relationships/hyperlink" Id="rId290" Target="https://www.semanticscholar.org/paper/Energy-Storage-for-Short-Term-Frequency-Stability-Akram-Mithulananthan/b74131f080c15125436fe65784135492fa318b02" TargetMode="External" /><Relationship Type="http://schemas.openxmlformats.org/officeDocument/2006/relationships/hyperlink" Id="rId701"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298" Target="http://www.aemc.gov.au/energy-system/electricity/electricity-system/electricity-supply-chain" TargetMode="External" /><Relationship Type="http://schemas.openxmlformats.org/officeDocument/2006/relationships/hyperlink" Id="rId337" Target="https://aemo.com.au/-/media/files/electricity/nem/market_notices_and_events/market_event_reports/2022/nem-market-suspension-and-operational-challenges-in-june-2022.pdf?la=en" TargetMode="External" /><Relationship Type="http://schemas.openxmlformats.org/officeDocument/2006/relationships/hyperlink" Id="rId364" Target="https://aemo.com.au/-/media/files/electricity/nem/planning_and_forecasting/inputs-assumptions-methodologies/2020/2020-inputs-and-assumptions-workbook-dec20.xlsx?la=en" TargetMode="External" /><Relationship Type="http://schemas.openxmlformats.org/officeDocument/2006/relationships/hyperlink" Id="rId378" Target="https://aemo.com.au/-/media/files/electricity/nem/planning_and_forecasting/rsig/reliability-standard-implementation-guidelines.pdf?la=en" TargetMode="External" /><Relationship Type="http://schemas.openxmlformats.org/officeDocument/2006/relationships/hyperlink" Id="rId348" Target="https://aemo.com.au/-/media/files/electricity/nem/security_and_reliability/dispatch/policy_and_process/fast-start-unit-inflexibility-profile.pdf" TargetMode="External" /><Relationship Type="http://schemas.openxmlformats.org/officeDocument/2006/relationships/hyperlink" Id="rId361" Target="https://aemo.com.au/-/media/files/electricity/nem/security_and_reliability/power_system_ops/procedures/so_op_3703-short-term-reserve-management.pdf?la=en" TargetMode="External" /><Relationship Type="http://schemas.openxmlformats.org/officeDocument/2006/relationships/hyperlink" Id="rId368" Target="https://aemo.com.au/-/media/files/major-publications/isp/2020/final-2020-isp-generation-outlook.zip?la=en" TargetMode="External" /><Relationship Type="http://schemas.openxmlformats.org/officeDocument/2006/relationships/hyperlink" Id="rId331" Target="https://aemo.com.au/-/media/files/major-publications/isp/2022/2022-documents/2022-integrated-system-plan-isp.pdf?la=en" TargetMode="External" /><Relationship Type="http://schemas.openxmlformats.org/officeDocument/2006/relationships/hyperlink" Id="rId343" Target="https://aemo.com.au/en/initiatives/major-programs/nem-distributed-energy-resources-der-program/operations/der-behaviour-during-disturbances" TargetMode="External" /><Relationship Type="http://schemas.openxmlformats.org/officeDocument/2006/relationships/hyperlink" Id="rId327" Target="https://aemo.com.au/energy-systems/electricity/national-electricity-market-nem/data-nem/market-management-system-mms-data/pre-dispatch" TargetMode="External" /><Relationship Type="http://schemas.openxmlformats.org/officeDocument/2006/relationships/hyperlink" Id="rId335" Target="https://aemo.com.au/energy-systems/electricity/national-electricity-market-nem/nem-forecasting-and-planning/forecasting-and-planning-data/generation-information" TargetMode="External" /><Relationship Type="http://schemas.openxmlformats.org/officeDocument/2006/relationships/hyperlink" Id="rId366" Target="https://aemo.com.au/energy-systems/major-publications/integrated-system-plan-isp/2020-integrated-system-plan-isp" TargetMode="External" /><Relationship Type="http://schemas.openxmlformats.org/officeDocument/2006/relationships/hyperlink" Id="rId386" Target="https://aemo.com.au/energy-systems/major-publications/integrated-system-plan-isp/2020-integrated-system-plan-isp/2019-isp-database" TargetMode="External" /><Relationship Type="http://schemas.openxmlformats.org/officeDocument/2006/relationships/hyperlink" Id="rId333" Target="https://aemo.com.au/initiatives/major-programs/past-major-programs/five-minute-settlement/5ms-program-management/5ms-commencement" TargetMode="External" /><Relationship Type="http://schemas.openxmlformats.org/officeDocument/2006/relationships/hyperlink" Id="rId329" Target="https://aemo.com.au/learn/energy-explained/energy-101/industry-overview" TargetMode="External" /><Relationship Type="http://schemas.openxmlformats.org/officeDocument/2006/relationships/hyperlink" Id="rId651" Target="https://arena.gov.au/assets/2021/04/renewable-energy-hub-final-report.pdf" TargetMode="External" /><Relationship Type="http://schemas.openxmlformats.org/officeDocument/2006/relationships/hyperlink" Id="rId294" Target="https://arena.gov.au/knowledge-bank/large-scale-battery-storage-knowledge-sharing-report/" TargetMode="External" /><Relationship Type="http://schemas.openxmlformats.org/officeDocument/2006/relationships/hyperlink" Id="rId583" Target="https://doi.org/10.1002/0471668826" TargetMode="External" /><Relationship Type="http://schemas.openxmlformats.org/officeDocument/2006/relationships/hyperlink" Id="rId515" Target="https://doi.org/10.1002/2050-7038.12128" TargetMode="External" /><Relationship Type="http://schemas.openxmlformats.org/officeDocument/2006/relationships/hyperlink" Id="rId657" Target="https://doi.org/10.1002/wene.137" TargetMode="External" /><Relationship Type="http://schemas.openxmlformats.org/officeDocument/2006/relationships/hyperlink" Id="rId591" Target="https://doi.org/10.1002/wene.399" TargetMode="External" /><Relationship Type="http://schemas.openxmlformats.org/officeDocument/2006/relationships/hyperlink" Id="rId455" Target="https://doi.org/10.1007/s11149-021-09430-7" TargetMode="External" /><Relationship Type="http://schemas.openxmlformats.org/officeDocument/2006/relationships/hyperlink" Id="rId699" Target="https://doi.org/10.1016/j.apenergy.2017.08.164" TargetMode="External" /><Relationship Type="http://schemas.openxmlformats.org/officeDocument/2006/relationships/hyperlink" Id="rId517" Target="https://doi.org/10.1016/j.apenergy.2020.115852" TargetMode="External" /><Relationship Type="http://schemas.openxmlformats.org/officeDocument/2006/relationships/hyperlink" Id="rId619" Target="https://doi.org/10.1016/j.eneco.2018.05.003" TargetMode="External" /><Relationship Type="http://schemas.openxmlformats.org/officeDocument/2006/relationships/hyperlink" Id="rId542" Target="https://doi.org/10.1016/j.enpol.2008.06.033" TargetMode="External" /><Relationship Type="http://schemas.openxmlformats.org/officeDocument/2006/relationships/hyperlink" Id="rId697" Target="https://doi.org/10.1016/j.enpol.2009.07.034" TargetMode="External" /><Relationship Type="http://schemas.openxmlformats.org/officeDocument/2006/relationships/hyperlink" Id="rId669" Target="https://doi.org/10.1016/j.enpol.2013.07.030" TargetMode="External" /><Relationship Type="http://schemas.openxmlformats.org/officeDocument/2006/relationships/hyperlink" Id="rId445" Target="https://doi.org/10.1016/j.enpol.2018.01.023" TargetMode="External" /><Relationship Type="http://schemas.openxmlformats.org/officeDocument/2006/relationships/hyperlink" Id="rId439" Target="https://doi.org/10.1016/j.enpol.2018.09.031" TargetMode="External" /><Relationship Type="http://schemas.openxmlformats.org/officeDocument/2006/relationships/hyperlink" Id="rId634" Target="https://doi.org/10.1016/j.enpol.2018.11.009" TargetMode="External" /><Relationship Type="http://schemas.openxmlformats.org/officeDocument/2006/relationships/hyperlink" Id="rId574" Target="https://doi.org/10.1016/j.enpol.2020.111739" TargetMode="External" /><Relationship Type="http://schemas.openxmlformats.org/officeDocument/2006/relationships/hyperlink" Id="rId587" Target="https://doi.org/10.1016/j.enpol.2020.112010" TargetMode="External" /><Relationship Type="http://schemas.openxmlformats.org/officeDocument/2006/relationships/hyperlink" Id="rId497" Target="https://doi.org/10.1016/j.enpol.2021.112443" TargetMode="External" /><Relationship Type="http://schemas.openxmlformats.org/officeDocument/2006/relationships/hyperlink" Id="rId443" Target="https://doi.org/10.1016/j.epsr.2021.107022" TargetMode="External" /><Relationship Type="http://schemas.openxmlformats.org/officeDocument/2006/relationships/hyperlink" Id="rId605" Target="https://doi.org/10.1016/j.ijepes.2013.09.020" TargetMode="External" /><Relationship Type="http://schemas.openxmlformats.org/officeDocument/2006/relationships/hyperlink" Id="rId691" Target="https://doi.org/10.1016/j.ijepes.2015.02.028" TargetMode="External" /><Relationship Type="http://schemas.openxmlformats.org/officeDocument/2006/relationships/hyperlink" Id="rId499" Target="https://doi.org/10.1016/j.joule.2021.03.021" TargetMode="External" /><Relationship Type="http://schemas.openxmlformats.org/officeDocument/2006/relationships/hyperlink" Id="rId589" Target="https://doi.org/10.1016/j.joule.2022.01.004" TargetMode="External" /><Relationship Type="http://schemas.openxmlformats.org/officeDocument/2006/relationships/hyperlink" Id="rId663" Target="https://doi.org/10.1016/j.jup.2008.01.008" TargetMode="External" /><Relationship Type="http://schemas.openxmlformats.org/officeDocument/2006/relationships/hyperlink" Id="rId695" Target="https://doi.org/10.1016/j.jup.2016.10.008" TargetMode="External" /><Relationship Type="http://schemas.openxmlformats.org/officeDocument/2006/relationships/hyperlink" Id="rId627" Target="https://doi.org/10.1016/j.renene.2018.04.094" TargetMode="External" /><Relationship Type="http://schemas.openxmlformats.org/officeDocument/2006/relationships/hyperlink" Id="rId545" Target="https://doi.org/10.1016/j.renene.2020.11.090" TargetMode="External" /><Relationship Type="http://schemas.openxmlformats.org/officeDocument/2006/relationships/hyperlink" Id="rId520" Target="https://doi.org/10.1016/j.rser.2015.04.180" TargetMode="External" /><Relationship Type="http://schemas.openxmlformats.org/officeDocument/2006/relationships/hyperlink" Id="rId689" Target="https://doi.org/10.1016/j.rser.2015.11.016" TargetMode="External" /><Relationship Type="http://schemas.openxmlformats.org/officeDocument/2006/relationships/hyperlink" Id="rId617" Target="https://doi.org/10.1016/j.rser.2016.09.040" TargetMode="External" /><Relationship Type="http://schemas.openxmlformats.org/officeDocument/2006/relationships/hyperlink" Id="rId506" Target="https://doi.org/10.1016/j.rser.2017.05.278" TargetMode="External" /><Relationship Type="http://schemas.openxmlformats.org/officeDocument/2006/relationships/hyperlink" Id="rId420" Target="https://doi.org/10.1016/j.rser.2018.03.085" TargetMode="External" /><Relationship Type="http://schemas.openxmlformats.org/officeDocument/2006/relationships/hyperlink" Id="rId495" Target="https://doi.org/10.1016/j.rser.2019.109662" TargetMode="External" /><Relationship Type="http://schemas.openxmlformats.org/officeDocument/2006/relationships/hyperlink" Id="rId559" Target="https://doi.org/10.1016/j.rser.2020.110467" TargetMode="External" /><Relationship Type="http://schemas.openxmlformats.org/officeDocument/2006/relationships/hyperlink" Id="rId674" Target="https://doi.org/10.1016/j.rser.2022.112228" TargetMode="External" /><Relationship Type="http://schemas.openxmlformats.org/officeDocument/2006/relationships/hyperlink" Id="rId638" Target="https://doi.org/10.1016/j.rser.2022.112303" TargetMode="External" /><Relationship Type="http://schemas.openxmlformats.org/officeDocument/2006/relationships/hyperlink" Id="rId437" Target="https://doi.org/10.1016/j.seta.2021.101286" TargetMode="External" /><Relationship Type="http://schemas.openxmlformats.org/officeDocument/2006/relationships/hyperlink" Id="rId547" Target="https://doi.org/10.1016/j.solener.2020.05.053" TargetMode="External" /><Relationship Type="http://schemas.openxmlformats.org/officeDocument/2006/relationships/hyperlink" Id="rId534" Target="https://doi.org/10.1016/j.tej.2004.03.001" TargetMode="External" /><Relationship Type="http://schemas.openxmlformats.org/officeDocument/2006/relationships/hyperlink" Id="rId646" Target="https://doi.org/10.1016/j.tej.2007.06.003" TargetMode="External" /><Relationship Type="http://schemas.openxmlformats.org/officeDocument/2006/relationships/hyperlink" Id="rId598" Target="https://doi.org/10.1016/j.tej.2011.10.011" TargetMode="External" /><Relationship Type="http://schemas.openxmlformats.org/officeDocument/2006/relationships/hyperlink" Id="rId469" Target="https://doi.org/10.1016/j.tej.2012.04.015" TargetMode="External" /><Relationship Type="http://schemas.openxmlformats.org/officeDocument/2006/relationships/hyperlink" Id="rId655" Target="https://doi.org/10.1016/j.tej.2015.03.006" TargetMode="External" /><Relationship Type="http://schemas.openxmlformats.org/officeDocument/2006/relationships/hyperlink" Id="rId461" Target="https://doi.org/10.1016/j.tej.2016.05.001" TargetMode="External" /><Relationship Type="http://schemas.openxmlformats.org/officeDocument/2006/relationships/hyperlink" Id="rId531" Target="https://doi.org/10.1016/j.tej.2017.01.009" TargetMode="External" /><Relationship Type="http://schemas.openxmlformats.org/officeDocument/2006/relationships/hyperlink" Id="rId623" Target="https://doi.org/10.1016/j.tej.2018.05.012" TargetMode="External" /><Relationship Type="http://schemas.openxmlformats.org/officeDocument/2006/relationships/hyperlink" Id="rId426" Target="https://doi.org/10.1016/j.tej.2019.106668" TargetMode="External" /><Relationship Type="http://schemas.openxmlformats.org/officeDocument/2006/relationships/hyperlink" Id="rId578" Target="https://doi.org/10.1016/j.tej.2020.106831" TargetMode="External" /><Relationship Type="http://schemas.openxmlformats.org/officeDocument/2006/relationships/hyperlink" Id="rId677" Target="https://doi.org/10.1016/j.tej.2020.106837" TargetMode="External" /><Relationship Type="http://schemas.openxmlformats.org/officeDocument/2006/relationships/hyperlink" Id="rId629" Target="https://doi.org/10.1016/j.tej.2020.106863" TargetMode="External" /><Relationship Type="http://schemas.openxmlformats.org/officeDocument/2006/relationships/hyperlink" Id="rId683" Target="https://doi.org/10.1016/j.tej.2021.106934" TargetMode="External" /><Relationship Type="http://schemas.openxmlformats.org/officeDocument/2006/relationships/hyperlink" Id="rId451" Target="https://doi.org/10.1049/iet-gtd.2013.0720" TargetMode="External" /><Relationship Type="http://schemas.openxmlformats.org/officeDocument/2006/relationships/hyperlink" Id="rId483" Target="https://doi.org/10.1049/iet-rpg.2017.0370" TargetMode="External" /><Relationship Type="http://schemas.openxmlformats.org/officeDocument/2006/relationships/hyperlink" Id="rId513" Target="https://doi.org/10.1080/23251042.2016.1155690" TargetMode="External" /><Relationship Type="http://schemas.openxmlformats.org/officeDocument/2006/relationships/hyperlink" Id="rId441" Target="https://doi.org/10.1093/ooenergy/oiab007" TargetMode="External" /><Relationship Type="http://schemas.openxmlformats.org/officeDocument/2006/relationships/hyperlink" Id="rId435" Target="https://doi.org/10.1093/oxrep/grx041" TargetMode="External" /><Relationship Type="http://schemas.openxmlformats.org/officeDocument/2006/relationships/hyperlink" Id="rId551" Target="https://doi.org/10.1109/MPE.2016.2524964" TargetMode="External" /><Relationship Type="http://schemas.openxmlformats.org/officeDocument/2006/relationships/hyperlink" Id="rId572" Target="https://doi.org/10.1109/MPE.2021.3072819" TargetMode="External" /><Relationship Type="http://schemas.openxmlformats.org/officeDocument/2006/relationships/hyperlink" Id="rId453" Target="https://doi.org/10.1109/MPE.2021.3088958" TargetMode="External" /><Relationship Type="http://schemas.openxmlformats.org/officeDocument/2006/relationships/hyperlink" Id="rId625" Target="https://doi.org/10.1109/TPWRS.2013.2293127" TargetMode="External" /><Relationship Type="http://schemas.openxmlformats.org/officeDocument/2006/relationships/hyperlink" Id="rId422" Target="https://doi.org/10.1109/TPWRS.2019.2925557" TargetMode="External" /><Relationship Type="http://schemas.openxmlformats.org/officeDocument/2006/relationships/hyperlink" Id="rId433" Target="https://doi.org/10.1109/TPWRS.2022.3163106" TargetMode="External" /><Relationship Type="http://schemas.openxmlformats.org/officeDocument/2006/relationships/hyperlink" Id="rId615" Target="https://doi.org/10.1109/eem.2016.7521193" TargetMode="External" /><Relationship Type="http://schemas.openxmlformats.org/officeDocument/2006/relationships/hyperlink" Id="rId665" Target="https://doi.org/10.1109/hicss.2014.304" TargetMode="External" /><Relationship Type="http://schemas.openxmlformats.org/officeDocument/2006/relationships/hyperlink" Id="rId430" Target="https://doi.org/10.1109/jproc.2005.857493" TargetMode="External" /><Relationship Type="http://schemas.openxmlformats.org/officeDocument/2006/relationships/hyperlink" Id="rId553" Target="https://doi.org/10.1109/mpe.2016.2637122" TargetMode="External" /><Relationship Type="http://schemas.openxmlformats.org/officeDocument/2006/relationships/hyperlink" Id="rId522" Target="https://doi.org/10.1109/mpe.2018.2871736" TargetMode="External" /><Relationship Type="http://schemas.openxmlformats.org/officeDocument/2006/relationships/hyperlink" Id="rId467" Target="https://doi.org/10.1109/mpe.2019.2933281" TargetMode="External" /><Relationship Type="http://schemas.openxmlformats.org/officeDocument/2006/relationships/hyperlink" Id="rId681" Target="https://doi.org/10.1109/mpe.2020.3014720" TargetMode="External" /><Relationship Type="http://schemas.openxmlformats.org/officeDocument/2006/relationships/hyperlink" Id="rId465" Target="https://doi.org/10.1109/mpe.2020.3033396" TargetMode="External" /><Relationship Type="http://schemas.openxmlformats.org/officeDocument/2006/relationships/hyperlink" Id="rId581" Target="https://doi.org/10.1109/mpe.2020.3043570" TargetMode="External" /><Relationship Type="http://schemas.openxmlformats.org/officeDocument/2006/relationships/hyperlink" Id="rId561" Target="https://doi.org/10.1109/mpe.2021.3088959" TargetMode="External" /><Relationship Type="http://schemas.openxmlformats.org/officeDocument/2006/relationships/hyperlink" Id="rId585" Target="https://doi.org/10.1109/mpe.2021.3104075" TargetMode="External" /><Relationship Type="http://schemas.openxmlformats.org/officeDocument/2006/relationships/hyperlink" Id="rId679" Target="https://doi.org/10.1109/mpe.2021.3104076" TargetMode="External" /><Relationship Type="http://schemas.openxmlformats.org/officeDocument/2006/relationships/hyperlink" Id="rId685" Target="https://doi.org/10.1109/pes.2007.385855" TargetMode="External" /><Relationship Type="http://schemas.openxmlformats.org/officeDocument/2006/relationships/hyperlink" Id="rId459" Target="https://doi.org/10.1109/pesgm.2012.6345361" TargetMode="External" /><Relationship Type="http://schemas.openxmlformats.org/officeDocument/2006/relationships/hyperlink" Id="rId567" Target="https://doi.org/10.1109/pesgm.2012.6345375" TargetMode="External" /><Relationship Type="http://schemas.openxmlformats.org/officeDocument/2006/relationships/hyperlink" Id="rId576" Target="https://doi.org/10.1109/pesgm41954.2020.9282169" TargetMode="External" /><Relationship Type="http://schemas.openxmlformats.org/officeDocument/2006/relationships/hyperlink" Id="rId527" Target="https://doi.org/10.1109/pesmg.2013.6673067" TargetMode="External" /><Relationship Type="http://schemas.openxmlformats.org/officeDocument/2006/relationships/hyperlink" Id="rId621" Target="https://doi.org/10.1109/pmaps47429.2020.9183585" TargetMode="External" /><Relationship Type="http://schemas.openxmlformats.org/officeDocument/2006/relationships/hyperlink" Id="rId644" Target="https://doi.org/10.1109/tpwrs.2006.888963" TargetMode="External" /><Relationship Type="http://schemas.openxmlformats.org/officeDocument/2006/relationships/hyperlink" Id="rId642" Target="https://doi.org/10.1109/tpwrs.2006.888965" TargetMode="External" /><Relationship Type="http://schemas.openxmlformats.org/officeDocument/2006/relationships/hyperlink" Id="rId565" Target="https://doi.org/10.1109/tpwrs.2011.2177280" TargetMode="External" /><Relationship Type="http://schemas.openxmlformats.org/officeDocument/2006/relationships/hyperlink" Id="rId563" Target="https://doi.org/10.1109/tpwrs.2014.2321793" TargetMode="External" /><Relationship Type="http://schemas.openxmlformats.org/officeDocument/2006/relationships/hyperlink" Id="rId704" Target="https://doi.org/10.1109/tpwrs.2015.2390038" TargetMode="External" /><Relationship Type="http://schemas.openxmlformats.org/officeDocument/2006/relationships/hyperlink" Id="rId601" Target="https://doi.org/10.1109/tpwrs.2019.2897727" TargetMode="External" /><Relationship Type="http://schemas.openxmlformats.org/officeDocument/2006/relationships/hyperlink" Id="rId613" Target="https://doi.org/10.1109/tste.2015.2410760" TargetMode="External" /><Relationship Type="http://schemas.openxmlformats.org/officeDocument/2006/relationships/hyperlink" Id="rId687" Target="https://doi.org/10.1260/030952408784305868" TargetMode="External" /><Relationship Type="http://schemas.openxmlformats.org/officeDocument/2006/relationships/hyperlink" Id="rId640" Target="https://doi.org/10.13140/RG.2.2.11620.50560" TargetMode="External" /><Relationship Type="http://schemas.openxmlformats.org/officeDocument/2006/relationships/hyperlink" Id="rId671" Target="https://doi.org/10.13140/RG.2.2.30173.69601" TargetMode="External" /><Relationship Type="http://schemas.openxmlformats.org/officeDocument/2006/relationships/hyperlink" Id="rId511" Target="https://doi.org/10.17775/cseejpes.2019.00230" TargetMode="External" /><Relationship Type="http://schemas.openxmlformats.org/officeDocument/2006/relationships/hyperlink" Id="rId288" Target="https://doi.org/10.2139/ssrn.3302569" TargetMode="External" /><Relationship Type="http://schemas.openxmlformats.org/officeDocument/2006/relationships/hyperlink" Id="rId463" Target="https://doi.org/10.2172/1023095" TargetMode="External" /><Relationship Type="http://schemas.openxmlformats.org/officeDocument/2006/relationships/hyperlink" Id="rId557" Target="https://doi.org/10.2172/1046269" TargetMode="External" /><Relationship Type="http://schemas.openxmlformats.org/officeDocument/2006/relationships/hyperlink" Id="rId569" Target="https://doi.org/10.2172/1220243" TargetMode="External" /><Relationship Type="http://schemas.openxmlformats.org/officeDocument/2006/relationships/hyperlink" Id="rId593" Target="https://doi.org/10.23919/pscc.2018.8450880" TargetMode="External" /><Relationship Type="http://schemas.openxmlformats.org/officeDocument/2006/relationships/hyperlink" Id="rId424" Target="https://doi.org/10.26889/9781784671600" TargetMode="External" /><Relationship Type="http://schemas.openxmlformats.org/officeDocument/2006/relationships/hyperlink" Id="rId693" Target="https://doi.org/10.3182/20140824-6-za-1003.02615" TargetMode="External" /><Relationship Type="http://schemas.openxmlformats.org/officeDocument/2006/relationships/hyperlink" Id="rId667" Target="https://doi.org/10.3929/ethz-a-010692129" TargetMode="External" /><Relationship Type="http://schemas.openxmlformats.org/officeDocument/2006/relationships/hyperlink" Id="rId286" Target="https://doi.org/10.4233/uuid:71f7138f-3af2-4bc3-b035-a3e42b3cafaf" TargetMode="External" /><Relationship Type="http://schemas.openxmlformats.org/officeDocument/2006/relationships/hyperlink" Id="rId636" Target="https://doi.org/10.5281/zenodo.7397514" TargetMode="External" /><Relationship Type="http://schemas.openxmlformats.org/officeDocument/2006/relationships/hyperlink" Id="rId524" Target="https://doi.org/10.5547/2160-5890.2.2.4" TargetMode="External" /><Relationship Type="http://schemas.openxmlformats.org/officeDocument/2006/relationships/hyperlink" Id="rId653" Target="https://doi.org/10.5547/2160-5890.5.1.jrie" TargetMode="External" /><Relationship Type="http://schemas.openxmlformats.org/officeDocument/2006/relationships/hyperlink" Id="rId428" Target="https://e-cigre.org/publication/SESSION2020_C2-C6-322" TargetMode="External" /><Relationship Type="http://schemas.openxmlformats.org/officeDocument/2006/relationships/hyperlink" Id="rId487" Target="https://eur-lex.europa.eu/legal-content/EN/TXT/?uri=uriserv:OJ.L_.2017.312.01.0006.01.ENG&amp;toc=OJ:L:2017:312:TOC#d1e4442-6-1" TargetMode="External" /><Relationship Type="http://schemas.openxmlformats.org/officeDocument/2006/relationships/hyperlink" Id="rId540" Target="https://iea.blob.core.windows.net/assets/00dd2818-65f1-426c-8756-9cc0409d89a8/Status_of_Power_System_Transformation_2019.pdf" TargetMode="External" /><Relationship Type="http://schemas.openxmlformats.org/officeDocument/2006/relationships/hyperlink" Id="rId538" Target="https://iea.blob.core.windows.net/assets/deebef5d-0c34-4539-9d0c-10b13d840027/NetZeroby2050-ARoadmapfortheGlobalEnergySector_CORR.pdf" TargetMode="External" /><Relationship Type="http://schemas.openxmlformats.org/officeDocument/2006/relationships/hyperlink" Id="rId555" Target="https://ieefa.org/wp-content/uploads/2022/03/What-Is-the-State-of-Virtual-Power-Plants-in-Australia_March-2022_2.pdf" TargetMode="External" /><Relationship Type="http://schemas.openxmlformats.org/officeDocument/2006/relationships/hyperlink" Id="rId608" Target="https://nemo-committee.eu/sidc" TargetMode="External" /><Relationship Type="http://schemas.openxmlformats.org/officeDocument/2006/relationships/hyperlink" Id="rId418" Target="https://pv-map.apvi.org.au" TargetMode="External" /><Relationship Type="http://schemas.openxmlformats.org/officeDocument/2006/relationships/hyperlink" Id="rId631" Target="https://wattclarity.com.au/articles/2021/12/two-improvements-in-nemde-dispatch/" TargetMode="External" /><Relationship Type="http://schemas.openxmlformats.org/officeDocument/2006/relationships/hyperlink" Id="rId300" Target="https://www.aemc.gov.au/energy-system/electricity/electricity-system/NEM" TargetMode="External" /><Relationship Type="http://schemas.openxmlformats.org/officeDocument/2006/relationships/hyperlink" Id="rId308" Target="https://www.aemc.gov.au/news-centre/data-portal/annual-market-performance-review/2020" TargetMode="External" /><Relationship Type="http://schemas.openxmlformats.org/officeDocument/2006/relationships/hyperlink" Id="rId394" Target="https://www.aemc.gov.au/sites/default/files/2018-03/Advice from AEMO - Primary frequency control.PDF" TargetMode="External" /><Relationship Type="http://schemas.openxmlformats.org/officeDocument/2006/relationships/hyperlink" Id="rId529" Target="https://www.aemc.gov.au/sites/default/files/2019-11/Rule Change SubmissionERC0274 - TasNetworks - 20191031.PDF" TargetMode="External" /><Relationship Type="http://schemas.openxmlformats.org/officeDocument/2006/relationships/hyperlink" Id="rId324" Target="https://www.aemc.gov.au/sites/default/files/2020-08/Updated%20Amended%20Panel%20RERT%20Guidelines%20-%2018%20August%202020%20-%20Final%20for%20publication_0.pdf" TargetMode="External" /><Relationship Type="http://schemas.openxmlformats.org/officeDocument/2006/relationships/hyperlink" Id="rId306" Target="https://www.aemc.gov.au/sites/default/files/2021-01/Reserve%20services%20directions%20paper%20-%205.01.2021%20-%20FINAL.pdf" TargetMode="External" /><Relationship Type="http://schemas.openxmlformats.org/officeDocument/2006/relationships/hyperlink" Id="rId302" Target="https://www.aemc.gov.au/sites/default/files/2022-05/ERC0332%20-%20Updating%20Short%20Term%20PASA%20-%20Final%20determination.pdf" TargetMode="External" /><Relationship Type="http://schemas.openxmlformats.org/officeDocument/2006/relationships/hyperlink" Id="rId322" Target="https://www.aemc.gov.au/sites/default/files/2022-09/2022%20RSS%20Review%20Final%20Report%20%281%29.pdf" TargetMode="External" /><Relationship Type="http://schemas.openxmlformats.org/officeDocument/2006/relationships/hyperlink" Id="rId316" Target="https://www.aemc.gov.au/sites/default/files/content/0bcaf68c-8449-4ce0-aaa6-da223ca6e01c/Final-Determination-ERC0203-Non-scheduled-generation-and-load.pdf" TargetMode="External" /><Relationship Type="http://schemas.openxmlformats.org/officeDocument/2006/relationships/hyperlink" Id="rId318" Target="https://www.aemc.gov.au/sites/default/files/content/68cb8114-113d-4d96-91dc-5cb4b0f9e0ae/ERC0186-DRM-and-ASU-Final-rule-determination-FINAL.PDF" TargetMode="External" /><Relationship Type="http://schemas.openxmlformats.org/officeDocument/2006/relationships/hyperlink" Id="rId320" Target="https://www.aemc.gov.au/sites/default/files/content/815f277c-a015-47d0-bc13-ce3d5faaf96d/Final-Determination.pdf" TargetMode="External" /><Relationship Type="http://schemas.openxmlformats.org/officeDocument/2006/relationships/hyperlink" Id="rId312" Target="https://www.aemc.gov.au/sites/default/files/documents/final_determination_-_short_term_forward_market_-_clean.pdf" TargetMode="External" /><Relationship Type="http://schemas.openxmlformats.org/officeDocument/2006/relationships/hyperlink" Id="rId501" Target="https://www.aemo.com.au/-/media/Files/Electricity/NEM/Planning_and_Forecasting/Inputs-Assumptions-Methodologies/2019/GHD-AEMO-revised---2018-19-Costs_and_Technical_Parameter.xlsb" TargetMode="External" /><Relationship Type="http://schemas.openxmlformats.org/officeDocument/2006/relationships/hyperlink" Id="rId595" Target="https://www.aemo.com.au/-/media/Files/Electricity/NEM/Security_and_Reliability/Reports/2017/20170904-GE-RoCoF-Advisory" TargetMode="External" /><Relationship Type="http://schemas.openxmlformats.org/officeDocument/2006/relationships/hyperlink" Id="rId37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409" Target="https://www.aemo.com.au/-/media/files/electricity/nem/planning_and_forecasting/pasa/stpasa-process-description.pdf" TargetMode="External" /><Relationship Type="http://schemas.openxmlformats.org/officeDocument/2006/relationships/hyperlink" Id="rId339" Target="https://www.aemo.com.au/-/media/files/electricity/nem/security_and_reliability/congestion-information/transfer-limit-advice-system-strength.pdf?la=en" TargetMode="External" /><Relationship Type="http://schemas.openxmlformats.org/officeDocument/2006/relationships/hyperlink" Id="rId357" Target="https://www.aemo.com.au/-/media/files/electricity/nem/security_and_reliability/dispatch/policy_and_process/pre-dispatch-sensitivities.pdf" TargetMode="External" /><Relationship Type="http://schemas.openxmlformats.org/officeDocument/2006/relationships/hyperlink" Id="rId353" Target="https://www.aemo.com.au/-/media/files/electricity/nem/security_and_reliability/power_system_ops/consumer-fact-sheet.pdf" TargetMode="External" /><Relationship Type="http://schemas.openxmlformats.org/officeDocument/2006/relationships/hyperlink" Id="rId355" Target="https://www.aemo.com.au/-/media/files/electricity/nem/security_and_reliability/power_system_ops/procedures/so_op_3704-predispatch.pdf?la=en" TargetMode="External" /><Relationship Type="http://schemas.openxmlformats.org/officeDocument/2006/relationships/hyperlink" Id="rId400" Target="https://www.aemo.com.au/-/media/files/electricity/nem/security_and_reliability/power_system_ops/reserve-level-declaration-guidelines.pdf?la=en" TargetMode="External" /><Relationship Type="http://schemas.openxmlformats.org/officeDocument/2006/relationships/hyperlink" Id="rId384" Target="https://www.aemo.com.au/-/media/files/initiatives/submissions/2020/wdrm/wdrm-high-level-design-june-2020.pdf" TargetMode="External" /><Relationship Type="http://schemas.openxmlformats.org/officeDocument/2006/relationships/hyperlink" Id="rId416" Target="https://www.aer.gov.au/system/files/AER%20-%20Values%20of%20Customer%20Reliability%20Review%20-%20Final%20Report%20-%20December%202019.pdf" TargetMode="External" /><Relationship Type="http://schemas.openxmlformats.org/officeDocument/2006/relationships/hyperlink" Id="rId412" Target="https://www.aer.gov.au/system/files/State%20of%20the%20energy%20market%202022%20-%20Full%20report.pdf" TargetMode="External" /><Relationship Type="http://schemas.openxmlformats.org/officeDocument/2006/relationships/hyperlink" Id="rId292" Target="https://www.asxenergy.com.au/products/electricity_futures" TargetMode="External" /><Relationship Type="http://schemas.openxmlformats.org/officeDocument/2006/relationships/hyperlink" Id="rId660" Target="https://www.ceem.unsw.edu.au/sites/default/files/uploads/publications/VPP%20User%20Research%20-%20Final%20Report%20-%2020201127r.pdf" TargetMode="External" /><Relationship Type="http://schemas.openxmlformats.org/officeDocument/2006/relationships/hyperlink" Id="rId473" Target="https://www.climatechangeinaustralia.gov.au/media/ccia/2.2/cms_page_media/799/ESCI%20Project%20final%20report_210721.pdf" TargetMode="External" /><Relationship Type="http://schemas.openxmlformats.org/officeDocument/2006/relationships/hyperlink" Id="rId296" Target="https://www.electranet.com.au/wp-content/uploads/projects/2016/11/508986-REP-ElectraNet-Generator-Technical-And-Cost-Parameters-23July2020.pdf" TargetMode="External" /><Relationship Type="http://schemas.openxmlformats.org/officeDocument/2006/relationships/hyperlink" Id="rId475" Target="https://www.energyexemplar.com/plexos" TargetMode="External" /><Relationship Type="http://schemas.openxmlformats.org/officeDocument/2006/relationships/hyperlink" Id="rId481" Target="https://www.epexspot.com/en/marketcoupling" TargetMode="External" /><Relationship Type="http://schemas.openxmlformats.org/officeDocument/2006/relationships/hyperlink" Id="rId457" Target="https://www.epri.com/research/products/000000003002015670" TargetMode="External" /><Relationship Type="http://schemas.openxmlformats.org/officeDocument/2006/relationships/hyperlink" Id="rId504" Target="https://www.esig.energy/download/plenary-1-grid-physics-and-markets-a-non-engineers-perspective-eric-gimon/" TargetMode="External" /><Relationship Type="http://schemas.openxmlformats.org/officeDocument/2006/relationships/hyperlink" Id="rId648" Target="https://www.esig.energy/wp-content/uploads/2021/08/ESIG-Redefining-Resource-Adequacy-2021.pdf" TargetMode="External" /><Relationship Type="http://schemas.openxmlformats.org/officeDocument/2006/relationships/hyperlink" Id="rId492" Target="https://www.ferc.gov/news-events/news/ferc-staff-issues-report-energy-and-ancillary-services-market-reforms-address" TargetMode="External" /><Relationship Type="http://schemas.openxmlformats.org/officeDocument/2006/relationships/hyperlink" Id="rId536" Target="https://www.ibm.com/au-en/analytics/cplex-optimizer" TargetMode="External" /><Relationship Type="http://schemas.openxmlformats.org/officeDocument/2006/relationships/hyperlink" Id="rId603" Target="https://www.monitoringanalytics.com/reports/PJM_State_of_the_Market/2021.shtml" TargetMode="External" /><Relationship Type="http://schemas.openxmlformats.org/officeDocument/2006/relationships/hyperlink" Id="rId611" Target="https://www.nerc.com/pa/RAPA/ra/Reliability%20Assessments%20DL/NERC_SRA_2022.pdf" TargetMode="External" /><Relationship Type="http://schemas.openxmlformats.org/officeDocument/2006/relationships/hyperlink" Id="rId471" Target="https://www.projectenergyconnect.com.au/index.html" TargetMode="External" /><Relationship Type="http://schemas.openxmlformats.org/officeDocument/2006/relationships/hyperlink" Id="rId508" Target="https://www.researchgate.net/publication/329798805" TargetMode="External" /><Relationship Type="http://schemas.openxmlformats.org/officeDocument/2006/relationships/hyperlink" Id="rId290" Target="https://www.semanticscholar.org/paper/Energy-Storage-for-Short-Term-Frequency-Stability-Akram-Mithulananthan/b74131f080c15125436fe65784135492fa318b02" TargetMode="External" /><Relationship Type="http://schemas.openxmlformats.org/officeDocument/2006/relationships/hyperlink" Id="rId701"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2023-10-27T02:49:54Z</dcterms:created>
  <dcterms:modified xsi:type="dcterms:W3CDTF">2023-10-27T02:49:54Z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October 27,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